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25054" w:rsidRPr="0058530F" w:rsidRDefault="00025054" w:rsidP="00025054">
      <w:pPr>
        <w:pStyle w:val="ESPROVA"/>
        <w:spacing w:after="113"/>
        <w:rPr>
          <w:color w:val="000000" w:themeColor="text1"/>
        </w:rPr>
      </w:pPr>
      <w:r w:rsidRPr="0058530F">
        <w:rPr>
          <w:color w:val="000000" w:themeColor="text1"/>
        </w:rPr>
        <w:t>PROVA 4</w:t>
      </w:r>
    </w:p>
    <w:p w:rsidR="00025054" w:rsidRPr="0058530F" w:rsidRDefault="00025054" w:rsidP="00025054">
      <w:pPr>
        <w:pStyle w:val="ESnuclei"/>
        <w:rPr>
          <w:color w:val="000000" w:themeColor="text1"/>
        </w:rPr>
      </w:pPr>
    </w:p>
    <w:p w:rsidR="00025054" w:rsidRPr="00CD730A" w:rsidRDefault="00025054" w:rsidP="00025054">
      <w:pPr>
        <w:pStyle w:val="23APEelencoabcon"/>
        <w:spacing w:before="198"/>
        <w:ind w:left="0" w:firstLine="0"/>
        <w:rPr>
          <w:rFonts w:ascii="ITC Franklin Gothic Std Med" w:hAnsi="ITC Franklin Gothic Std Med" w:cs="ITC Franklin Gothic Std Med"/>
          <w:b/>
          <w:caps/>
          <w:color w:val="000000" w:themeColor="text1"/>
          <w:sz w:val="24"/>
          <w:szCs w:val="24"/>
        </w:rPr>
      </w:pPr>
      <w:r w:rsidRPr="00CD730A">
        <w:rPr>
          <w:rFonts w:ascii="ITC Franklin Gothic Std Med" w:hAnsi="ITC Franklin Gothic Std Med" w:cs="ITC Franklin Gothic Std Med"/>
          <w:b/>
          <w:caps/>
          <w:color w:val="000000" w:themeColor="text1"/>
          <w:sz w:val="24"/>
          <w:szCs w:val="24"/>
        </w:rPr>
        <w:t>TIPOLOGIA B</w:t>
      </w:r>
    </w:p>
    <w:p w:rsidR="00025054" w:rsidRPr="0058530F" w:rsidRDefault="00025054" w:rsidP="00025054">
      <w:pPr>
        <w:pStyle w:val="ESnuclei"/>
        <w:rPr>
          <w:color w:val="000000" w:themeColor="text1"/>
        </w:rPr>
      </w:pPr>
      <w:r w:rsidRPr="00CD730A">
        <w:rPr>
          <w:rStyle w:val="PROVEfranklinmedium"/>
          <w:b/>
          <w:color w:val="000000" w:themeColor="text1"/>
        </w:rPr>
        <w:t>NUCLEO TEMATICO FONDAMENTALE 3</w:t>
      </w:r>
      <w:r w:rsidRPr="0058530F">
        <w:rPr>
          <w:color w:val="000000" w:themeColor="text1"/>
        </w:rPr>
        <w:t xml:space="preserve"> Programmazione e attivazione degli interventi di messa in sicurezza nella lavorazione di prodotti e/o nell’allestimento di servizi: dalle procedure dei piani di autocontrollo all’implementazione della prevenzione dei rischi sul luogo di lavoro, alla connessione tra sicurezza, qualità e privacy.</w:t>
      </w:r>
    </w:p>
    <w:p w:rsidR="00025054" w:rsidRPr="0058530F" w:rsidRDefault="00025054" w:rsidP="00025054">
      <w:pPr>
        <w:pStyle w:val="ESbranotesto"/>
        <w:rPr>
          <w:color w:val="000000" w:themeColor="text1"/>
        </w:rPr>
      </w:pPr>
    </w:p>
    <w:p w:rsidR="00025054" w:rsidRPr="0058530F" w:rsidRDefault="00025054" w:rsidP="00025054">
      <w:pPr>
        <w:pStyle w:val="ESbranotesto"/>
        <w:rPr>
          <w:color w:val="000000" w:themeColor="text1"/>
        </w:rPr>
      </w:pPr>
    </w:p>
    <w:p w:rsidR="00025054" w:rsidRPr="0058530F" w:rsidRDefault="00025054" w:rsidP="00025054">
      <w:pPr>
        <w:pStyle w:val="ESnuclei"/>
        <w:rPr>
          <w:color w:val="000000" w:themeColor="text1"/>
        </w:rPr>
      </w:pPr>
      <w:r w:rsidRPr="000119C0">
        <w:rPr>
          <w:rStyle w:val="PROVEfranklinmedium"/>
          <w:b/>
          <w:caps/>
          <w:color w:val="000000" w:themeColor="text1"/>
        </w:rPr>
        <w:t>FOCUS CONCETTUALE</w:t>
      </w:r>
      <w:r w:rsidRPr="0058530F">
        <w:rPr>
          <w:color w:val="000000" w:themeColor="text1"/>
        </w:rPr>
        <w:t>: sicurezza alimentare e buone prassi igieniche</w:t>
      </w:r>
    </w:p>
    <w:p w:rsidR="00025054" w:rsidRPr="0058530F" w:rsidRDefault="00025054" w:rsidP="00025054">
      <w:pPr>
        <w:pStyle w:val="ESnuclei"/>
        <w:rPr>
          <w:color w:val="000000" w:themeColor="text1"/>
        </w:rPr>
      </w:pPr>
      <w:r w:rsidRPr="000119C0">
        <w:rPr>
          <w:rStyle w:val="PROVEfranklinmedium"/>
          <w:b/>
          <w:color w:val="000000" w:themeColor="text1"/>
        </w:rPr>
        <w:t>TARGET DI DESTINAZIONE</w:t>
      </w:r>
      <w:r w:rsidRPr="0058530F">
        <w:rPr>
          <w:color w:val="000000" w:themeColor="text1"/>
        </w:rPr>
        <w:t>: alimenti sicuri, qualità dei prodotti/servizi, ottimizzazione dei processi</w:t>
      </w:r>
    </w:p>
    <w:p w:rsidR="00025054" w:rsidRPr="0058530F" w:rsidRDefault="00025054" w:rsidP="00025054">
      <w:pPr>
        <w:pStyle w:val="ESbranotesto"/>
        <w:rPr>
          <w:b/>
          <w:bCs/>
          <w:color w:val="000000" w:themeColor="text1"/>
        </w:rPr>
      </w:pPr>
    </w:p>
    <w:p w:rsidR="00025054" w:rsidRPr="000119C0" w:rsidRDefault="00025054" w:rsidP="00025054">
      <w:pPr>
        <w:pStyle w:val="ESbranoT1"/>
        <w:spacing w:after="170"/>
        <w:rPr>
          <w:b/>
          <w:color w:val="000000" w:themeColor="text1"/>
        </w:rPr>
      </w:pPr>
      <w:r w:rsidRPr="000119C0">
        <w:rPr>
          <w:b/>
          <w:color w:val="000000" w:themeColor="text1"/>
        </w:rPr>
        <w:t xml:space="preserve">La sicurezza alimentare nei servizi di </w:t>
      </w:r>
      <w:proofErr w:type="spellStart"/>
      <w:r w:rsidRPr="000119C0">
        <w:rPr>
          <w:b/>
          <w:color w:val="000000" w:themeColor="text1"/>
        </w:rPr>
        <w:t>outside</w:t>
      </w:r>
      <w:proofErr w:type="spellEnd"/>
      <w:r w:rsidRPr="000119C0">
        <w:rPr>
          <w:b/>
          <w:color w:val="000000" w:themeColor="text1"/>
        </w:rPr>
        <w:t xml:space="preserve"> banqueting</w:t>
      </w:r>
    </w:p>
    <w:p w:rsidR="00025054" w:rsidRPr="0058530F" w:rsidRDefault="00025054" w:rsidP="00025054">
      <w:pPr>
        <w:pStyle w:val="ESbranotesto"/>
        <w:rPr>
          <w:color w:val="000000" w:themeColor="text1"/>
        </w:rPr>
      </w:pPr>
      <w:r w:rsidRPr="0058530F">
        <w:rPr>
          <w:color w:val="000000" w:themeColor="text1"/>
        </w:rPr>
        <w:t>L’azienda Relais banqueting, specializzata nel settore dell’</w:t>
      </w:r>
      <w:proofErr w:type="spellStart"/>
      <w:r w:rsidRPr="0058530F">
        <w:rPr>
          <w:rStyle w:val="ESbranosemibold"/>
          <w:color w:val="000000" w:themeColor="text1"/>
        </w:rPr>
        <w:t>outside</w:t>
      </w:r>
      <w:proofErr w:type="spellEnd"/>
      <w:r w:rsidRPr="0058530F">
        <w:rPr>
          <w:rStyle w:val="ESbranosemibold"/>
          <w:color w:val="000000" w:themeColor="text1"/>
        </w:rPr>
        <w:t xml:space="preserve"> banqueting</w:t>
      </w:r>
      <w:r w:rsidRPr="0058530F">
        <w:rPr>
          <w:color w:val="000000" w:themeColor="text1"/>
        </w:rPr>
        <w:t xml:space="preserve">, con esperienza trentennale, offre ser­vizi di </w:t>
      </w:r>
      <w:r w:rsidRPr="0058530F">
        <w:rPr>
          <w:rStyle w:val="ESbranosemibold"/>
          <w:color w:val="000000" w:themeColor="text1"/>
        </w:rPr>
        <w:t>catering per eventi</w:t>
      </w:r>
      <w:r w:rsidRPr="0058530F">
        <w:rPr>
          <w:color w:val="000000" w:themeColor="text1"/>
        </w:rPr>
        <w:t xml:space="preserve"> in tutta Italia. </w:t>
      </w:r>
    </w:p>
    <w:p w:rsidR="00025054" w:rsidRPr="0058530F" w:rsidRDefault="00025054" w:rsidP="00025054">
      <w:pPr>
        <w:pStyle w:val="ESbranotesto"/>
        <w:rPr>
          <w:color w:val="000000" w:themeColor="text1"/>
        </w:rPr>
      </w:pPr>
      <w:r w:rsidRPr="0058530F">
        <w:rPr>
          <w:color w:val="000000" w:themeColor="text1"/>
        </w:rPr>
        <w:t xml:space="preserve">I servizi offerti coprono tutte le esigenze della clientela, dalla consulenza in fase preliminare di progettazione dell’evento, all’individuazione del luogo in cui effettuare la cerimonia, ai permessi necessari, alla realizzazione vera e propria del banchetto per mezzo di personale altamente specializzato e proposte gastronomiche di alto livello. </w:t>
      </w:r>
    </w:p>
    <w:p w:rsidR="00025054" w:rsidRPr="0058530F" w:rsidRDefault="00025054" w:rsidP="00025054">
      <w:pPr>
        <w:pStyle w:val="ESbranotesto"/>
        <w:rPr>
          <w:color w:val="000000" w:themeColor="text1"/>
        </w:rPr>
      </w:pPr>
      <w:r w:rsidRPr="0058530F">
        <w:rPr>
          <w:color w:val="000000" w:themeColor="text1"/>
        </w:rPr>
        <w:t>Alla “Relais banqueting” è stata commissionata l’organizzazione di un importantissimo evento cerimoniale in occasione dell’apertura dei XXV giochi olimpici invernali “Milano Cortina 2026”.</w:t>
      </w:r>
    </w:p>
    <w:p w:rsidR="00025054" w:rsidRPr="0058530F" w:rsidRDefault="00025054" w:rsidP="00025054">
      <w:pPr>
        <w:pStyle w:val="ESbranotesto"/>
        <w:rPr>
          <w:color w:val="000000" w:themeColor="text1"/>
        </w:rPr>
      </w:pPr>
      <w:r w:rsidRPr="0058530F">
        <w:rPr>
          <w:color w:val="000000" w:themeColor="text1"/>
        </w:rPr>
        <w:t xml:space="preserve">Per l’occasione, lo staff del reparto di ristorazione dovrà, tra i tanti servizi e banchetti previsti, occuparsi del pranzo di gala offerto dalle autorità a un parterre di 500 invitati che si terrà a Cortina, in una tensostruttura trasparente e riscaldata, posta vicino allo stadio olimpico del ghiaccio, con vista sulle Tre Cime di </w:t>
      </w:r>
      <w:proofErr w:type="spellStart"/>
      <w:r w:rsidRPr="0058530F">
        <w:rPr>
          <w:color w:val="000000" w:themeColor="text1"/>
        </w:rPr>
        <w:t>Lavaredo</w:t>
      </w:r>
      <w:proofErr w:type="spellEnd"/>
      <w:r w:rsidRPr="0058530F">
        <w:rPr>
          <w:color w:val="000000" w:themeColor="text1"/>
        </w:rPr>
        <w:t xml:space="preserve">. </w:t>
      </w:r>
    </w:p>
    <w:p w:rsidR="00025054" w:rsidRPr="0058530F" w:rsidRDefault="00025054" w:rsidP="00025054">
      <w:pPr>
        <w:pStyle w:val="ESbranotesto"/>
        <w:rPr>
          <w:color w:val="000000" w:themeColor="text1"/>
        </w:rPr>
      </w:pPr>
      <w:r w:rsidRPr="0058530F">
        <w:rPr>
          <w:color w:val="000000" w:themeColor="text1"/>
        </w:rPr>
        <w:t xml:space="preserve">Gli ospiti invitati saranno rappresentanti delle istituzioni politiche e sportive di tutti i Paesi partecipanti ai giochi, nonché giornalisti, top </w:t>
      </w:r>
      <w:proofErr w:type="spellStart"/>
      <w:r w:rsidRPr="0058530F">
        <w:rPr>
          <w:color w:val="000000" w:themeColor="text1"/>
        </w:rPr>
        <w:t>influencer</w:t>
      </w:r>
      <w:proofErr w:type="spellEnd"/>
      <w:r w:rsidRPr="0058530F">
        <w:rPr>
          <w:color w:val="000000" w:themeColor="text1"/>
        </w:rPr>
        <w:t xml:space="preserve"> e, non ultimi, i portabandiera di ogni Paese in rappresentanza degli atleti.  </w:t>
      </w:r>
    </w:p>
    <w:p w:rsidR="00145DEF" w:rsidRPr="0058530F" w:rsidRDefault="00145DEF" w:rsidP="00025054">
      <w:pPr>
        <w:pStyle w:val="ESbranotesto"/>
        <w:rPr>
          <w:color w:val="000000" w:themeColor="text1"/>
        </w:rPr>
      </w:pPr>
    </w:p>
    <w:p w:rsidR="00145DEF" w:rsidRPr="0058530F" w:rsidRDefault="00145DEF" w:rsidP="00025054">
      <w:pPr>
        <w:pStyle w:val="ESbranotesto"/>
        <w:rPr>
          <w:color w:val="000000" w:themeColor="text1"/>
        </w:rPr>
      </w:pPr>
      <w:r w:rsidRPr="0058530F">
        <w:rPr>
          <w:noProof/>
          <w:color w:val="000000" w:themeColor="text1"/>
        </w:rPr>
        <w:drawing>
          <wp:inline distT="0" distB="0" distL="0" distR="0" wp14:anchorId="202F4F8E" wp14:editId="26101094">
            <wp:extent cx="3207895" cy="1987843"/>
            <wp:effectExtent l="0" t="0" r="5715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16812" cy="1993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5054" w:rsidRPr="000119C0" w:rsidRDefault="00025054" w:rsidP="00025054">
      <w:pPr>
        <w:pStyle w:val="ESdocumento"/>
        <w:spacing w:before="283"/>
        <w:rPr>
          <w:b/>
          <w:color w:val="000000" w:themeColor="text1"/>
        </w:rPr>
      </w:pPr>
      <w:r w:rsidRPr="000119C0">
        <w:rPr>
          <w:b/>
          <w:color w:val="000000" w:themeColor="text1"/>
        </w:rPr>
        <w:t xml:space="preserve">Documento 1 </w:t>
      </w:r>
    </w:p>
    <w:p w:rsidR="00025054" w:rsidRPr="00A23A46" w:rsidRDefault="00025054" w:rsidP="00025054">
      <w:pPr>
        <w:pStyle w:val="ESbranoT2"/>
        <w:spacing w:before="170"/>
        <w:rPr>
          <w:b/>
          <w:color w:val="000000" w:themeColor="text1"/>
        </w:rPr>
      </w:pPr>
      <w:r w:rsidRPr="00A23A46">
        <w:rPr>
          <w:b/>
          <w:color w:val="000000" w:themeColor="text1"/>
        </w:rPr>
        <w:t>Regolamento (CE) n. 852/2004 sull’igiene dei prodotti alimentari</w:t>
      </w:r>
    </w:p>
    <w:p w:rsidR="00025054" w:rsidRPr="0058530F" w:rsidRDefault="00025054" w:rsidP="00025054">
      <w:pPr>
        <w:pStyle w:val="ESbranoT2"/>
        <w:spacing w:before="130"/>
        <w:rPr>
          <w:rFonts w:ascii="ITC Franklin Gothic Std Med" w:hAnsi="ITC Franklin Gothic Std Med" w:cs="ITC Franklin Gothic Std Med"/>
          <w:color w:val="000000" w:themeColor="text1"/>
        </w:rPr>
      </w:pPr>
      <w:r w:rsidRPr="0058530F">
        <w:rPr>
          <w:rFonts w:ascii="ITC Franklin Gothic Std Med" w:hAnsi="ITC Franklin Gothic Std Med" w:cs="ITC Franklin Gothic Std Med"/>
          <w:color w:val="000000" w:themeColor="text1"/>
        </w:rPr>
        <w:t>Qual è l’obiettivo del regolamento?</w:t>
      </w:r>
    </w:p>
    <w:p w:rsidR="00025054" w:rsidRPr="0058530F" w:rsidRDefault="00025054" w:rsidP="00DE52FE">
      <w:pPr>
        <w:pStyle w:val="ESbranoelencopallo"/>
        <w:numPr>
          <w:ilvl w:val="0"/>
          <w:numId w:val="1"/>
        </w:numPr>
        <w:rPr>
          <w:color w:val="000000" w:themeColor="text1"/>
        </w:rPr>
      </w:pPr>
      <w:r w:rsidRPr="0058530F">
        <w:rPr>
          <w:color w:val="000000" w:themeColor="text1"/>
        </w:rPr>
        <w:t>L’Unione europea punta a garantire l’igiene degli alimenti in tutte le fasi del processo produttivo, dalle aziende agricole agli impianti di trasformazione e dai dettaglianti al consumatore finale.</w:t>
      </w:r>
    </w:p>
    <w:p w:rsidR="00025054" w:rsidRPr="0058530F" w:rsidRDefault="00025054" w:rsidP="00DE52FE">
      <w:pPr>
        <w:pStyle w:val="ESbranoelencopallo"/>
        <w:numPr>
          <w:ilvl w:val="0"/>
          <w:numId w:val="1"/>
        </w:numPr>
        <w:rPr>
          <w:color w:val="000000" w:themeColor="text1"/>
        </w:rPr>
      </w:pPr>
      <w:r w:rsidRPr="0058530F">
        <w:rPr>
          <w:color w:val="000000" w:themeColor="text1"/>
        </w:rPr>
        <w:t xml:space="preserve">Il regolamento e i suoi allegati definiscono una serie di </w:t>
      </w:r>
      <w:r w:rsidRPr="0058530F">
        <w:rPr>
          <w:rStyle w:val="ESbranosemibold"/>
          <w:color w:val="000000" w:themeColor="text1"/>
        </w:rPr>
        <w:t>requisiti</w:t>
      </w:r>
      <w:r w:rsidRPr="0058530F">
        <w:rPr>
          <w:color w:val="000000" w:themeColor="text1"/>
        </w:rPr>
        <w:t xml:space="preserve"> per l’Unione che le aziende che lavorano con gli alimenti devono soddisfare per garantire che siano sicuri per i consumatori.</w:t>
      </w:r>
    </w:p>
    <w:p w:rsidR="00025054" w:rsidRPr="0058530F" w:rsidRDefault="00025054" w:rsidP="00025054">
      <w:pPr>
        <w:pStyle w:val="ESbranoT2"/>
        <w:spacing w:before="130"/>
        <w:rPr>
          <w:rFonts w:ascii="ITC Franklin Gothic Std Med" w:hAnsi="ITC Franklin Gothic Std Med" w:cs="ITC Franklin Gothic Std Med"/>
          <w:color w:val="000000" w:themeColor="text1"/>
        </w:rPr>
      </w:pPr>
      <w:r w:rsidRPr="0058530F">
        <w:rPr>
          <w:rFonts w:ascii="ITC Franklin Gothic Std Med" w:hAnsi="ITC Franklin Gothic Std Med" w:cs="ITC Franklin Gothic Std Med"/>
          <w:color w:val="000000" w:themeColor="text1"/>
        </w:rPr>
        <w:t>Punti chiave</w:t>
      </w:r>
    </w:p>
    <w:p w:rsidR="00025054" w:rsidRPr="0058530F" w:rsidRDefault="00025054" w:rsidP="00025054">
      <w:pPr>
        <w:pStyle w:val="ESbranotesto"/>
        <w:rPr>
          <w:color w:val="000000" w:themeColor="text1"/>
        </w:rPr>
      </w:pPr>
      <w:r w:rsidRPr="0058530F">
        <w:rPr>
          <w:color w:val="000000" w:themeColor="text1"/>
        </w:rPr>
        <w:t>Il principio chiave è che tutti coloro che lavorano nel settore alimentare devono garantire che gli alimenti siano trattati in modo igienico e sicuro, ovvero privi di contaminazioni da rischi di origine alimentare, in ogni fase del processo produttivo. L’obiettivo viene raggiunto con:</w:t>
      </w:r>
    </w:p>
    <w:p w:rsidR="00025054" w:rsidRPr="0058530F" w:rsidRDefault="00025054" w:rsidP="00DE52FE">
      <w:pPr>
        <w:pStyle w:val="ESbranoelencopallo"/>
        <w:numPr>
          <w:ilvl w:val="0"/>
          <w:numId w:val="2"/>
        </w:numPr>
        <w:rPr>
          <w:color w:val="000000" w:themeColor="text1"/>
        </w:rPr>
      </w:pPr>
      <w:r w:rsidRPr="0058530F">
        <w:rPr>
          <w:color w:val="000000" w:themeColor="text1"/>
        </w:rPr>
        <w:t>prassi corrette in materia di igiene;</w:t>
      </w:r>
    </w:p>
    <w:p w:rsidR="00025054" w:rsidRPr="0058530F" w:rsidRDefault="00025054" w:rsidP="00DE52FE">
      <w:pPr>
        <w:pStyle w:val="ESbranoelencopallo"/>
        <w:numPr>
          <w:ilvl w:val="0"/>
          <w:numId w:val="2"/>
        </w:numPr>
        <w:rPr>
          <w:color w:val="000000" w:themeColor="text1"/>
        </w:rPr>
      </w:pPr>
      <w:r w:rsidRPr="0058530F">
        <w:rPr>
          <w:color w:val="000000" w:themeColor="text1"/>
        </w:rPr>
        <w:t>procedure basate sull’analisi dei pericoli e dei punti critici di controllo (HACCP).</w:t>
      </w:r>
    </w:p>
    <w:p w:rsidR="00025054" w:rsidRPr="0058530F" w:rsidRDefault="00025054" w:rsidP="00025054">
      <w:pPr>
        <w:pStyle w:val="ESbranoT2"/>
        <w:spacing w:before="130"/>
        <w:rPr>
          <w:rFonts w:ascii="ITC Franklin Gothic Std Med" w:hAnsi="ITC Franklin Gothic Std Med" w:cs="ITC Franklin Gothic Std Med"/>
          <w:color w:val="000000" w:themeColor="text1"/>
        </w:rPr>
      </w:pPr>
      <w:r w:rsidRPr="0058530F">
        <w:rPr>
          <w:rFonts w:ascii="ITC Franklin Gothic Std Med" w:hAnsi="ITC Franklin Gothic Std Med" w:cs="ITC Franklin Gothic Std Med"/>
          <w:color w:val="000000" w:themeColor="text1"/>
        </w:rPr>
        <w:t>Prassi corrette in materia di igiene</w:t>
      </w:r>
    </w:p>
    <w:p w:rsidR="00025054" w:rsidRPr="0058530F" w:rsidRDefault="00025054" w:rsidP="00025054">
      <w:pPr>
        <w:pStyle w:val="ESbranotesto"/>
        <w:rPr>
          <w:color w:val="000000" w:themeColor="text1"/>
        </w:rPr>
      </w:pPr>
      <w:r w:rsidRPr="0058530F">
        <w:rPr>
          <w:color w:val="000000" w:themeColor="text1"/>
        </w:rPr>
        <w:t xml:space="preserve">L’allegato I del Regolamento riguarda le prassi corrette in materia di igiene applicabili alle </w:t>
      </w:r>
      <w:r w:rsidRPr="0058530F">
        <w:rPr>
          <w:rStyle w:val="ESbranosemibold"/>
          <w:color w:val="000000" w:themeColor="text1"/>
        </w:rPr>
        <w:t>fasi di produzione primaria</w:t>
      </w:r>
      <w:r w:rsidRPr="0058530F">
        <w:rPr>
          <w:color w:val="000000" w:themeColor="text1"/>
        </w:rPr>
        <w:t xml:space="preserve"> (ad es. prodotti della terra, della caccia e della pesca) e durante il trasporto, il magazzinaggio e la conservazione di prodotti primari, nonché il trasporto di animali vivi.</w:t>
      </w:r>
    </w:p>
    <w:p w:rsidR="00025054" w:rsidRPr="0058530F" w:rsidRDefault="00025054" w:rsidP="00025054">
      <w:pPr>
        <w:pStyle w:val="ESbranotesto"/>
        <w:rPr>
          <w:color w:val="000000" w:themeColor="text1"/>
        </w:rPr>
      </w:pPr>
      <w:r w:rsidRPr="0058530F">
        <w:rPr>
          <w:rStyle w:val="ESbranosemibold"/>
          <w:color w:val="000000" w:themeColor="text1"/>
        </w:rPr>
        <w:lastRenderedPageBreak/>
        <w:t>Le buone prassi in materia di igiene</w:t>
      </w:r>
      <w:r w:rsidRPr="0058530F">
        <w:rPr>
          <w:color w:val="000000" w:themeColor="text1"/>
        </w:rPr>
        <w:t xml:space="preserve"> indicate nell’allegato II si applicano agli operatori del settore alimentare dopo la produzione primaria (macelli, impianti di trasformazione, dettaglianti ecc.) e riguardano aspetti quali:</w:t>
      </w:r>
    </w:p>
    <w:p w:rsidR="00025054" w:rsidRPr="0058530F" w:rsidRDefault="00025054" w:rsidP="00DE52FE">
      <w:pPr>
        <w:pStyle w:val="ESbranoelencopallo"/>
        <w:numPr>
          <w:ilvl w:val="0"/>
          <w:numId w:val="3"/>
        </w:numPr>
        <w:rPr>
          <w:color w:val="000000" w:themeColor="text1"/>
        </w:rPr>
      </w:pPr>
      <w:r w:rsidRPr="0058530F">
        <w:rPr>
          <w:color w:val="000000" w:themeColor="text1"/>
        </w:rPr>
        <w:t>la pulizia dei locali e delle attrezzature alimentari;</w:t>
      </w:r>
    </w:p>
    <w:p w:rsidR="00025054" w:rsidRPr="0058530F" w:rsidRDefault="00025054" w:rsidP="00DE52FE">
      <w:pPr>
        <w:pStyle w:val="ESbranoelencopallo"/>
        <w:numPr>
          <w:ilvl w:val="0"/>
          <w:numId w:val="3"/>
        </w:numPr>
        <w:rPr>
          <w:color w:val="000000" w:themeColor="text1"/>
        </w:rPr>
      </w:pPr>
      <w:r w:rsidRPr="0058530F">
        <w:rPr>
          <w:color w:val="000000" w:themeColor="text1"/>
        </w:rPr>
        <w:t>le condizioni di trasporto;</w:t>
      </w:r>
    </w:p>
    <w:p w:rsidR="00025054" w:rsidRPr="0058530F" w:rsidRDefault="00025054" w:rsidP="00DE52FE">
      <w:pPr>
        <w:pStyle w:val="ESbranoelencopallo"/>
        <w:numPr>
          <w:ilvl w:val="0"/>
          <w:numId w:val="3"/>
        </w:numPr>
        <w:rPr>
          <w:color w:val="000000" w:themeColor="text1"/>
        </w:rPr>
      </w:pPr>
      <w:r w:rsidRPr="0058530F">
        <w:rPr>
          <w:color w:val="000000" w:themeColor="text1"/>
        </w:rPr>
        <w:t>la gestione dei rifiuti alimentari;</w:t>
      </w:r>
    </w:p>
    <w:p w:rsidR="00025054" w:rsidRPr="0058530F" w:rsidRDefault="00025054" w:rsidP="00DE52FE">
      <w:pPr>
        <w:pStyle w:val="ESbranoelencopallo"/>
        <w:numPr>
          <w:ilvl w:val="0"/>
          <w:numId w:val="3"/>
        </w:numPr>
        <w:rPr>
          <w:color w:val="000000" w:themeColor="text1"/>
        </w:rPr>
      </w:pPr>
      <w:r w:rsidRPr="0058530F">
        <w:rPr>
          <w:color w:val="000000" w:themeColor="text1"/>
        </w:rPr>
        <w:t>le risorse idriche;</w:t>
      </w:r>
    </w:p>
    <w:p w:rsidR="00025054" w:rsidRPr="0058530F" w:rsidRDefault="00025054" w:rsidP="00DE52FE">
      <w:pPr>
        <w:pStyle w:val="ESbranoelencopallo"/>
        <w:numPr>
          <w:ilvl w:val="0"/>
          <w:numId w:val="3"/>
        </w:numPr>
        <w:rPr>
          <w:color w:val="000000" w:themeColor="text1"/>
        </w:rPr>
      </w:pPr>
      <w:r w:rsidRPr="0058530F">
        <w:rPr>
          <w:color w:val="000000" w:themeColor="text1"/>
        </w:rPr>
        <w:t>l’igiene personale e la formazione degli operatori del settore;</w:t>
      </w:r>
    </w:p>
    <w:p w:rsidR="00025054" w:rsidRPr="0058530F" w:rsidRDefault="00025054" w:rsidP="00DE52FE">
      <w:pPr>
        <w:pStyle w:val="ESbranoelencopallo"/>
        <w:numPr>
          <w:ilvl w:val="0"/>
          <w:numId w:val="3"/>
        </w:numPr>
        <w:rPr>
          <w:color w:val="000000" w:themeColor="text1"/>
        </w:rPr>
      </w:pPr>
      <w:r w:rsidRPr="0058530F">
        <w:rPr>
          <w:color w:val="000000" w:themeColor="text1"/>
        </w:rPr>
        <w:t>il confezionamento e l’imballaggio;</w:t>
      </w:r>
    </w:p>
    <w:p w:rsidR="00025054" w:rsidRPr="0058530F" w:rsidRDefault="00025054" w:rsidP="00DE52FE">
      <w:pPr>
        <w:pStyle w:val="ESbranoelencopallo"/>
        <w:numPr>
          <w:ilvl w:val="0"/>
          <w:numId w:val="3"/>
        </w:numPr>
        <w:rPr>
          <w:color w:val="000000" w:themeColor="text1"/>
        </w:rPr>
      </w:pPr>
      <w:r w:rsidRPr="0058530F">
        <w:rPr>
          <w:color w:val="000000" w:themeColor="text1"/>
        </w:rPr>
        <w:t>il trattamento termico.</w:t>
      </w:r>
    </w:p>
    <w:p w:rsidR="00025054" w:rsidRPr="0058530F" w:rsidRDefault="00025054" w:rsidP="00025054">
      <w:pPr>
        <w:pStyle w:val="ESbranoT2"/>
        <w:spacing w:before="170"/>
        <w:rPr>
          <w:rFonts w:ascii="ITC Franklin Gothic Std Med" w:hAnsi="ITC Franklin Gothic Std Med" w:cs="ITC Franklin Gothic Std Med"/>
          <w:color w:val="000000" w:themeColor="text1"/>
        </w:rPr>
      </w:pPr>
      <w:r w:rsidRPr="0058530F">
        <w:rPr>
          <w:rFonts w:ascii="ITC Franklin Gothic Std Med" w:hAnsi="ITC Franklin Gothic Std Med" w:cs="ITC Franklin Gothic Std Med"/>
          <w:color w:val="000000" w:themeColor="text1"/>
        </w:rPr>
        <w:t>La procedura si basa sui principi del sistema HACCP</w:t>
      </w:r>
    </w:p>
    <w:p w:rsidR="00025054" w:rsidRPr="0058530F" w:rsidRDefault="00025054" w:rsidP="00025054">
      <w:pPr>
        <w:pStyle w:val="ESbranotesto"/>
        <w:rPr>
          <w:color w:val="000000" w:themeColor="text1"/>
        </w:rPr>
      </w:pPr>
      <w:r w:rsidRPr="0058530F">
        <w:rPr>
          <w:color w:val="000000" w:themeColor="text1"/>
        </w:rPr>
        <w:t xml:space="preserve">Le imprese del settore alimentare (a eccezione di quelle coinvolte nella produzione primaria) dovrebbero applicare procedure basate sui principi HACCP in linea con i principi generali di igiene alimentare del </w:t>
      </w:r>
      <w:proofErr w:type="spellStart"/>
      <w:r w:rsidRPr="0058530F">
        <w:rPr>
          <w:color w:val="000000" w:themeColor="text1"/>
        </w:rPr>
        <w:t>Codex</w:t>
      </w:r>
      <w:proofErr w:type="spellEnd"/>
      <w:r w:rsidRPr="0058530F">
        <w:rPr>
          <w:color w:val="000000" w:themeColor="text1"/>
        </w:rPr>
        <w:t xml:space="preserve"> </w:t>
      </w:r>
      <w:proofErr w:type="spellStart"/>
      <w:r w:rsidRPr="0058530F">
        <w:rPr>
          <w:color w:val="000000" w:themeColor="text1"/>
        </w:rPr>
        <w:t>Alimentarius</w:t>
      </w:r>
      <w:proofErr w:type="spellEnd"/>
      <w:r w:rsidRPr="0058530F">
        <w:rPr>
          <w:color w:val="000000" w:themeColor="text1"/>
        </w:rPr>
        <w:t>. Tali principi comprendono:</w:t>
      </w:r>
    </w:p>
    <w:p w:rsidR="00025054" w:rsidRPr="0058530F" w:rsidRDefault="00025054" w:rsidP="00DE52FE">
      <w:pPr>
        <w:pStyle w:val="ESbranoelencopallo"/>
        <w:numPr>
          <w:ilvl w:val="0"/>
          <w:numId w:val="4"/>
        </w:numPr>
        <w:rPr>
          <w:color w:val="000000" w:themeColor="text1"/>
          <w:spacing w:val="-4"/>
        </w:rPr>
      </w:pPr>
      <w:r w:rsidRPr="0058530F">
        <w:rPr>
          <w:color w:val="000000" w:themeColor="text1"/>
          <w:spacing w:val="-4"/>
        </w:rPr>
        <w:t>identificare eventuali pericoli che devono essere controllati;</w:t>
      </w:r>
    </w:p>
    <w:p w:rsidR="00025054" w:rsidRPr="0058530F" w:rsidRDefault="00025054" w:rsidP="00DE52FE">
      <w:pPr>
        <w:pStyle w:val="ESbranoelencopallo"/>
        <w:numPr>
          <w:ilvl w:val="0"/>
          <w:numId w:val="4"/>
        </w:numPr>
        <w:rPr>
          <w:color w:val="000000" w:themeColor="text1"/>
        </w:rPr>
      </w:pPr>
      <w:r w:rsidRPr="0058530F">
        <w:rPr>
          <w:color w:val="000000" w:themeColor="text1"/>
        </w:rPr>
        <w:t>identificare i punti critici di controllo e stabilire i limiti critici;</w:t>
      </w:r>
    </w:p>
    <w:p w:rsidR="00025054" w:rsidRPr="0058530F" w:rsidRDefault="00025054" w:rsidP="00DE52FE">
      <w:pPr>
        <w:pStyle w:val="ESbranoelencopallo"/>
        <w:numPr>
          <w:ilvl w:val="0"/>
          <w:numId w:val="4"/>
        </w:numPr>
        <w:rPr>
          <w:color w:val="000000" w:themeColor="text1"/>
        </w:rPr>
      </w:pPr>
      <w:r w:rsidRPr="0058530F">
        <w:rPr>
          <w:color w:val="000000" w:themeColor="text1"/>
        </w:rPr>
        <w:t>stabilire e attuare un monitoraggio efficace;</w:t>
      </w:r>
    </w:p>
    <w:p w:rsidR="00025054" w:rsidRPr="0058530F" w:rsidRDefault="00025054" w:rsidP="00DE52FE">
      <w:pPr>
        <w:pStyle w:val="ESbranoelencopallo"/>
        <w:numPr>
          <w:ilvl w:val="0"/>
          <w:numId w:val="4"/>
        </w:numPr>
        <w:rPr>
          <w:color w:val="000000" w:themeColor="text1"/>
        </w:rPr>
      </w:pPr>
      <w:r w:rsidRPr="0058530F">
        <w:rPr>
          <w:color w:val="000000" w:themeColor="text1"/>
        </w:rPr>
        <w:t>stabilire azioni correttive ove necessario;</w:t>
      </w:r>
    </w:p>
    <w:p w:rsidR="00025054" w:rsidRPr="0058530F" w:rsidRDefault="00025054" w:rsidP="00DE52FE">
      <w:pPr>
        <w:pStyle w:val="ESbranoelencopallo"/>
        <w:numPr>
          <w:ilvl w:val="0"/>
          <w:numId w:val="4"/>
        </w:numPr>
        <w:rPr>
          <w:color w:val="000000" w:themeColor="text1"/>
          <w:spacing w:val="-2"/>
        </w:rPr>
      </w:pPr>
      <w:r w:rsidRPr="0058530F">
        <w:rPr>
          <w:color w:val="000000" w:themeColor="text1"/>
          <w:spacing w:val="-2"/>
        </w:rPr>
        <w:t>stabilire procedure per verificare che le procedure HACCP funzionino efficacemente;</w:t>
      </w:r>
    </w:p>
    <w:p w:rsidR="00025054" w:rsidRPr="0058530F" w:rsidRDefault="00025054" w:rsidP="00DE52FE">
      <w:pPr>
        <w:pStyle w:val="ESbranoelencopallo"/>
        <w:numPr>
          <w:ilvl w:val="0"/>
          <w:numId w:val="4"/>
        </w:numPr>
        <w:rPr>
          <w:color w:val="000000" w:themeColor="text1"/>
        </w:rPr>
      </w:pPr>
      <w:r w:rsidRPr="0058530F">
        <w:rPr>
          <w:color w:val="000000" w:themeColor="text1"/>
        </w:rPr>
        <w:t>istituire documenti e registri che dimostrino l’effettiva applicazione delle procedure HACCP.</w:t>
      </w:r>
    </w:p>
    <w:p w:rsidR="00025054" w:rsidRPr="0058530F" w:rsidRDefault="00025054" w:rsidP="00025054">
      <w:pPr>
        <w:pStyle w:val="ESbranofonte"/>
        <w:rPr>
          <w:color w:val="000000" w:themeColor="text1"/>
        </w:rPr>
      </w:pPr>
    </w:p>
    <w:p w:rsidR="00025054" w:rsidRPr="0058530F" w:rsidRDefault="00025054" w:rsidP="00025054">
      <w:pPr>
        <w:pStyle w:val="ESbranofonte"/>
        <w:rPr>
          <w:color w:val="000000" w:themeColor="text1"/>
        </w:rPr>
      </w:pPr>
      <w:r w:rsidRPr="0058530F">
        <w:rPr>
          <w:color w:val="000000" w:themeColor="text1"/>
        </w:rPr>
        <w:t>(Fonte: https://eur-lex.europa.eu/IT)</w:t>
      </w:r>
    </w:p>
    <w:p w:rsidR="008B558B" w:rsidRDefault="008B558B" w:rsidP="00025054">
      <w:pPr>
        <w:pStyle w:val="ESesercizitestonorientro"/>
        <w:rPr>
          <w:color w:val="000000" w:themeColor="text1"/>
        </w:rPr>
      </w:pPr>
    </w:p>
    <w:p w:rsidR="00025054" w:rsidRPr="0058530F" w:rsidRDefault="00025054" w:rsidP="00025054">
      <w:pPr>
        <w:pStyle w:val="ESesercizitestonorientro"/>
        <w:rPr>
          <w:color w:val="000000" w:themeColor="text1"/>
        </w:rPr>
      </w:pPr>
      <w:r w:rsidRPr="0058530F">
        <w:rPr>
          <w:color w:val="000000" w:themeColor="text1"/>
        </w:rPr>
        <w:t>Premesso che la sicurezza alimentare deve essere garantita in ogni occasione, l’</w:t>
      </w:r>
      <w:proofErr w:type="spellStart"/>
      <w:r w:rsidRPr="0058530F">
        <w:rPr>
          <w:color w:val="000000" w:themeColor="text1"/>
        </w:rPr>
        <w:t>event</w:t>
      </w:r>
      <w:proofErr w:type="spellEnd"/>
      <w:r w:rsidRPr="0058530F">
        <w:rPr>
          <w:color w:val="000000" w:themeColor="text1"/>
        </w:rPr>
        <w:t xml:space="preserve"> manager di Relais banqueting esige, anche per adempimento contrattuale richiesto dalla committenza, che lo staff, oltre alle consuete attenzioni, curi tutti i particolari necessari inerenti </w:t>
      </w:r>
      <w:proofErr w:type="gramStart"/>
      <w:r w:rsidRPr="0058530F">
        <w:rPr>
          <w:color w:val="000000" w:themeColor="text1"/>
        </w:rPr>
        <w:t>gli</w:t>
      </w:r>
      <w:proofErr w:type="gramEnd"/>
      <w:r w:rsidRPr="0058530F">
        <w:rPr>
          <w:color w:val="000000" w:themeColor="text1"/>
        </w:rPr>
        <w:t xml:space="preserve"> aspetti igienico-sanitari dell’intero evento, senza lasciar nulla al caso.</w:t>
      </w:r>
    </w:p>
    <w:p w:rsidR="00025054" w:rsidRPr="0058530F" w:rsidRDefault="00025054" w:rsidP="00025054">
      <w:pPr>
        <w:pStyle w:val="ESesercizitestonorientro"/>
        <w:rPr>
          <w:color w:val="000000" w:themeColor="text1"/>
        </w:rPr>
      </w:pPr>
    </w:p>
    <w:p w:rsidR="00025054" w:rsidRPr="0058530F" w:rsidRDefault="00025054" w:rsidP="00025054">
      <w:pPr>
        <w:pStyle w:val="ESesercizitestonorientro"/>
        <w:rPr>
          <w:color w:val="000000" w:themeColor="text1"/>
        </w:rPr>
      </w:pPr>
      <w:r w:rsidRPr="0058530F">
        <w:rPr>
          <w:color w:val="000000" w:themeColor="text1"/>
        </w:rPr>
        <w:t>Pertanto il candidato, cui si chiede di immedesimarsi nella figura dell’head executive chef di Relais banqueting, nonché responsabile del piano di autocontrollo HACCP, dovrà svolgere le seguenti consegne.</w:t>
      </w:r>
    </w:p>
    <w:p w:rsidR="00025054" w:rsidRPr="0058530F" w:rsidRDefault="00025054" w:rsidP="00025054">
      <w:pPr>
        <w:pStyle w:val="ESeserciziconsegna"/>
        <w:rPr>
          <w:color w:val="000000" w:themeColor="text1"/>
        </w:rPr>
      </w:pPr>
      <w:r w:rsidRPr="008B558B">
        <w:rPr>
          <w:b/>
          <w:color w:val="000000" w:themeColor="text1"/>
        </w:rPr>
        <w:t>A</w:t>
      </w:r>
      <w:r w:rsidRPr="008B558B">
        <w:rPr>
          <w:b/>
          <w:color w:val="000000" w:themeColor="text1"/>
        </w:rPr>
        <w:tab/>
      </w:r>
      <w:r w:rsidRPr="008B558B">
        <w:rPr>
          <w:rStyle w:val="ESesercizidemi"/>
          <w:b/>
          <w:color w:val="000000" w:themeColor="text1"/>
        </w:rPr>
        <w:t>Redigere un menu di cinque portate</w:t>
      </w:r>
      <w:r w:rsidRPr="0058530F">
        <w:rPr>
          <w:color w:val="000000" w:themeColor="text1"/>
        </w:rPr>
        <w:t xml:space="preserve"> (un antipasto freddo, un antipasto caldo, un primo piatto, un secondo piatto con contorno, un dessert) che tenga in considerazione:</w:t>
      </w:r>
    </w:p>
    <w:p w:rsidR="00025054" w:rsidRPr="0058530F" w:rsidRDefault="00025054" w:rsidP="00025054">
      <w:pPr>
        <w:pStyle w:val="ESesercizitesto"/>
        <w:rPr>
          <w:color w:val="000000" w:themeColor="text1"/>
        </w:rPr>
      </w:pPr>
      <w:r w:rsidRPr="0058530F">
        <w:rPr>
          <w:color w:val="000000" w:themeColor="text1"/>
        </w:rPr>
        <w:t>–</w:t>
      </w:r>
      <w:r w:rsidRPr="0058530F">
        <w:rPr>
          <w:color w:val="000000" w:themeColor="text1"/>
        </w:rPr>
        <w:t> </w:t>
      </w:r>
      <w:r w:rsidRPr="0058530F">
        <w:rPr>
          <w:color w:val="000000" w:themeColor="text1"/>
        </w:rPr>
        <w:t>l’importanza dell’evento, degli ospiti invitati, della stagione e della cornice in cui viene offerto;</w:t>
      </w:r>
    </w:p>
    <w:p w:rsidR="00025054" w:rsidRPr="0058530F" w:rsidRDefault="00025054" w:rsidP="00025054">
      <w:pPr>
        <w:pStyle w:val="ESesercizitesto"/>
        <w:rPr>
          <w:color w:val="000000" w:themeColor="text1"/>
        </w:rPr>
      </w:pPr>
      <w:r w:rsidRPr="0058530F">
        <w:rPr>
          <w:color w:val="000000" w:themeColor="text1"/>
        </w:rPr>
        <w:t>–</w:t>
      </w:r>
      <w:r w:rsidRPr="0058530F">
        <w:rPr>
          <w:color w:val="000000" w:themeColor="text1"/>
        </w:rPr>
        <w:t> </w:t>
      </w:r>
      <w:r w:rsidRPr="0058530F">
        <w:rPr>
          <w:color w:val="000000" w:themeColor="text1"/>
        </w:rPr>
        <w:br/>
        <w:t>la multiculturalità, rappresentata anche da probabili ospiti di confessioni religiose e abitudini alimentari diverse.</w:t>
      </w:r>
    </w:p>
    <w:p w:rsidR="00025054" w:rsidRPr="0058530F" w:rsidRDefault="00025054" w:rsidP="00025054">
      <w:pPr>
        <w:pStyle w:val="ESeserciziconsegna"/>
        <w:rPr>
          <w:color w:val="000000" w:themeColor="text1"/>
        </w:rPr>
      </w:pPr>
      <w:r w:rsidRPr="008B558B">
        <w:rPr>
          <w:b/>
          <w:color w:val="000000" w:themeColor="text1"/>
        </w:rPr>
        <w:t>B</w:t>
      </w:r>
      <w:r w:rsidRPr="008B558B">
        <w:rPr>
          <w:b/>
          <w:color w:val="000000" w:themeColor="text1"/>
        </w:rPr>
        <w:tab/>
      </w:r>
      <w:r w:rsidRPr="008B558B">
        <w:rPr>
          <w:rStyle w:val="ESesercizidemi"/>
          <w:b/>
          <w:color w:val="000000" w:themeColor="text1"/>
        </w:rPr>
        <w:t>Descrivere in modo sintetico i piatti proposti e le motivazioni</w:t>
      </w:r>
      <w:r w:rsidRPr="0058530F">
        <w:rPr>
          <w:color w:val="000000" w:themeColor="text1"/>
        </w:rPr>
        <w:t xml:space="preserve"> per cui sono stati scelti e posizionati all’interno del menu.</w:t>
      </w:r>
    </w:p>
    <w:p w:rsidR="00025054" w:rsidRPr="0058530F" w:rsidRDefault="00025054" w:rsidP="00025054">
      <w:pPr>
        <w:pStyle w:val="ESeserciziconsegna"/>
        <w:rPr>
          <w:color w:val="000000" w:themeColor="text1"/>
        </w:rPr>
      </w:pPr>
      <w:r w:rsidRPr="008B558B">
        <w:rPr>
          <w:b/>
          <w:color w:val="000000" w:themeColor="text1"/>
        </w:rPr>
        <w:t>C</w:t>
      </w:r>
      <w:r w:rsidRPr="008B558B">
        <w:rPr>
          <w:b/>
          <w:color w:val="000000" w:themeColor="text1"/>
        </w:rPr>
        <w:tab/>
      </w:r>
      <w:r w:rsidRPr="008B558B">
        <w:rPr>
          <w:rStyle w:val="ESesercizidemi"/>
          <w:b/>
          <w:color w:val="000000" w:themeColor="text1"/>
        </w:rPr>
        <w:t>Predisporre un diagramma di flusso</w:t>
      </w:r>
      <w:r w:rsidRPr="0058530F">
        <w:rPr>
          <w:color w:val="000000" w:themeColor="text1"/>
        </w:rPr>
        <w:t>, dalla ricezione delle materie prime alla somministrazione, per ogni piatto proposto all’interno del menu, tenendo conto che l’azienda dispone di:</w:t>
      </w:r>
    </w:p>
    <w:p w:rsidR="00025054" w:rsidRPr="0058530F" w:rsidRDefault="00025054" w:rsidP="00025054">
      <w:pPr>
        <w:pStyle w:val="ESesercizitesto"/>
        <w:rPr>
          <w:color w:val="000000" w:themeColor="text1"/>
        </w:rPr>
      </w:pPr>
      <w:r w:rsidRPr="0058530F">
        <w:rPr>
          <w:color w:val="000000" w:themeColor="text1"/>
        </w:rPr>
        <w:t>–</w:t>
      </w:r>
      <w:r w:rsidRPr="0058530F">
        <w:rPr>
          <w:color w:val="000000" w:themeColor="text1"/>
        </w:rPr>
        <w:t> </w:t>
      </w:r>
      <w:r w:rsidRPr="0058530F">
        <w:rPr>
          <w:color w:val="000000" w:themeColor="text1"/>
        </w:rPr>
        <w:t>un centro di cottura centralizzato con tutte le migliori tecnologie necessarie alla conservazione, alla preparazione e alla cottura degli alimenti;</w:t>
      </w:r>
    </w:p>
    <w:p w:rsidR="00025054" w:rsidRPr="0058530F" w:rsidRDefault="00025054" w:rsidP="00025054">
      <w:pPr>
        <w:pStyle w:val="ESesercizitesto"/>
        <w:rPr>
          <w:color w:val="000000" w:themeColor="text1"/>
        </w:rPr>
      </w:pPr>
      <w:r w:rsidRPr="0058530F">
        <w:rPr>
          <w:color w:val="000000" w:themeColor="text1"/>
        </w:rPr>
        <w:t>–</w:t>
      </w:r>
      <w:r w:rsidRPr="0058530F">
        <w:rPr>
          <w:color w:val="000000" w:themeColor="text1"/>
        </w:rPr>
        <w:t> </w:t>
      </w:r>
      <w:r w:rsidRPr="0058530F">
        <w:rPr>
          <w:color w:val="000000" w:themeColor="text1"/>
        </w:rPr>
        <w:t>mezzi appositamente predisposti al trasporto degli alimenti;</w:t>
      </w:r>
    </w:p>
    <w:p w:rsidR="00025054" w:rsidRPr="0058530F" w:rsidRDefault="00025054" w:rsidP="00025054">
      <w:pPr>
        <w:pStyle w:val="ESesercizitesto"/>
        <w:rPr>
          <w:color w:val="000000" w:themeColor="text1"/>
        </w:rPr>
      </w:pPr>
      <w:r w:rsidRPr="0058530F">
        <w:rPr>
          <w:color w:val="000000" w:themeColor="text1"/>
        </w:rPr>
        <w:t>–</w:t>
      </w:r>
      <w:r w:rsidRPr="0058530F">
        <w:rPr>
          <w:color w:val="000000" w:themeColor="text1"/>
        </w:rPr>
        <w:t> </w:t>
      </w:r>
      <w:r w:rsidRPr="0058530F">
        <w:rPr>
          <w:color w:val="000000" w:themeColor="text1"/>
        </w:rPr>
        <w:t>una cucina mobile di finitura, posta nelle vicinanze della tensostruttura in cui verrà servito il pranzo e collegata a servizi di supporto forniti dalla committenza (sale di servizio, sale di stoccaggio, servizi igienici, locali di lavaggio ecc.);</w:t>
      </w:r>
    </w:p>
    <w:p w:rsidR="00025054" w:rsidRPr="0058530F" w:rsidRDefault="00025054" w:rsidP="00025054">
      <w:pPr>
        <w:pStyle w:val="ESesercizitesto"/>
        <w:rPr>
          <w:color w:val="000000" w:themeColor="text1"/>
        </w:rPr>
      </w:pPr>
      <w:r w:rsidRPr="0058530F">
        <w:rPr>
          <w:color w:val="000000" w:themeColor="text1"/>
        </w:rPr>
        <w:t>–</w:t>
      </w:r>
      <w:r w:rsidRPr="0058530F">
        <w:rPr>
          <w:color w:val="000000" w:themeColor="text1"/>
        </w:rPr>
        <w:t> </w:t>
      </w:r>
      <w:r w:rsidRPr="0058530F">
        <w:rPr>
          <w:color w:val="000000" w:themeColor="text1"/>
        </w:rPr>
        <w:t xml:space="preserve">tutte le attrezzature di sala per il servizio </w:t>
      </w:r>
      <w:proofErr w:type="spellStart"/>
      <w:r w:rsidRPr="0058530F">
        <w:rPr>
          <w:color w:val="000000" w:themeColor="text1"/>
        </w:rPr>
        <w:t>placée</w:t>
      </w:r>
      <w:proofErr w:type="spellEnd"/>
      <w:r w:rsidRPr="0058530F">
        <w:rPr>
          <w:color w:val="000000" w:themeColor="text1"/>
        </w:rPr>
        <w:t>;</w:t>
      </w:r>
    </w:p>
    <w:p w:rsidR="00025054" w:rsidRPr="0058530F" w:rsidRDefault="00025054" w:rsidP="00025054">
      <w:pPr>
        <w:pStyle w:val="ESesercizitesto"/>
        <w:rPr>
          <w:color w:val="000000" w:themeColor="text1"/>
        </w:rPr>
      </w:pPr>
      <w:r w:rsidRPr="0058530F">
        <w:rPr>
          <w:color w:val="000000" w:themeColor="text1"/>
        </w:rPr>
        <w:t>–</w:t>
      </w:r>
      <w:r w:rsidRPr="0058530F">
        <w:rPr>
          <w:color w:val="000000" w:themeColor="text1"/>
        </w:rPr>
        <w:t> </w:t>
      </w:r>
      <w:r w:rsidRPr="0058530F">
        <w:rPr>
          <w:color w:val="000000" w:themeColor="text1"/>
        </w:rPr>
        <w:t xml:space="preserve">tutte le attrezzature necessarie per il riassetto e lo smantellamento delle strutture. </w:t>
      </w:r>
    </w:p>
    <w:p w:rsidR="00025054" w:rsidRPr="0058530F" w:rsidRDefault="00025054" w:rsidP="00025054">
      <w:pPr>
        <w:pStyle w:val="ESeserciziconsegna"/>
        <w:rPr>
          <w:color w:val="000000" w:themeColor="text1"/>
        </w:rPr>
      </w:pPr>
      <w:r w:rsidRPr="001F7845">
        <w:rPr>
          <w:b/>
          <w:color w:val="000000" w:themeColor="text1"/>
        </w:rPr>
        <w:t>D</w:t>
      </w:r>
      <w:r w:rsidRPr="001F7845">
        <w:rPr>
          <w:b/>
          <w:color w:val="000000" w:themeColor="text1"/>
        </w:rPr>
        <w:tab/>
      </w:r>
      <w:r w:rsidRPr="001F7845">
        <w:rPr>
          <w:rStyle w:val="ESesercizidemi"/>
          <w:b/>
          <w:color w:val="000000" w:themeColor="text1"/>
        </w:rPr>
        <w:t>Predisporre una relazione sintetica</w:t>
      </w:r>
      <w:r w:rsidRPr="0058530F">
        <w:rPr>
          <w:color w:val="000000" w:themeColor="text1"/>
        </w:rPr>
        <w:t xml:space="preserve"> che metta in evidenza i </w:t>
      </w:r>
      <w:bookmarkStart w:id="0" w:name="_GoBack"/>
      <w:r w:rsidRPr="006961DC">
        <w:rPr>
          <w:rStyle w:val="ESesercizidemi"/>
          <w:b/>
          <w:color w:val="000000" w:themeColor="text1"/>
        </w:rPr>
        <w:t>punti critici di controllo</w:t>
      </w:r>
      <w:r w:rsidRPr="0058530F">
        <w:rPr>
          <w:color w:val="000000" w:themeColor="text1"/>
        </w:rPr>
        <w:t xml:space="preserve"> </w:t>
      </w:r>
      <w:bookmarkEnd w:id="0"/>
      <w:r w:rsidRPr="0058530F">
        <w:rPr>
          <w:color w:val="000000" w:themeColor="text1"/>
        </w:rPr>
        <w:t>(riferiti alle ricette del menu) e le possibili problematiche igienico-sanitarie (almeno tre) che potrebbero insorgere durante l’organizzazione del banchetto, cercando di offrire le possibili soluzioni.</w:t>
      </w:r>
    </w:p>
    <w:p w:rsidR="00772820" w:rsidRPr="0058530F" w:rsidRDefault="00772820">
      <w:pPr>
        <w:rPr>
          <w:color w:val="000000" w:themeColor="text1"/>
        </w:rPr>
      </w:pPr>
    </w:p>
    <w:sectPr w:rsidR="00772820" w:rsidRPr="0058530F" w:rsidSect="0003658B">
      <w:footerReference w:type="default" r:id="rId8"/>
      <w:pgSz w:w="11906" w:h="16838"/>
      <w:pgMar w:top="720" w:right="720" w:bottom="720" w:left="72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8710E" w:rsidRDefault="00D8710E" w:rsidP="000B6133">
      <w:r>
        <w:separator/>
      </w:r>
    </w:p>
  </w:endnote>
  <w:endnote w:type="continuationSeparator" w:id="0">
    <w:p w:rsidR="00D8710E" w:rsidRDefault="00D8710E" w:rsidP="000B61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saSansPro-ExtraBold">
    <w:altName w:val="Calibri"/>
    <w:panose1 w:val="020B0604020202020204"/>
    <w:charset w:val="4D"/>
    <w:family w:val="auto"/>
    <w:notTrueType/>
    <w:pitch w:val="default"/>
    <w:sig w:usb0="00000003" w:usb1="00000000" w:usb2="00000000" w:usb3="00000000" w:csb0="00000001" w:csb1="00000000"/>
  </w:font>
  <w:font w:name="ITC Franklin Gothic Std Book">
    <w:panose1 w:val="020B0504030503020204"/>
    <w:charset w:val="4D"/>
    <w:family w:val="swiss"/>
    <w:notTrueType/>
    <w:pitch w:val="variable"/>
    <w:sig w:usb0="00000003" w:usb1="00000000" w:usb2="00000000" w:usb3="00000000" w:csb0="00000001" w:csb1="00000000"/>
  </w:font>
  <w:font w:name="Chaparral Pro">
    <w:panose1 w:val="02060503040505020203"/>
    <w:charset w:val="4D"/>
    <w:family w:val="roman"/>
    <w:notTrueType/>
    <w:pitch w:val="variable"/>
    <w:sig w:usb0="00000007" w:usb1="00000001" w:usb2="00000000" w:usb3="00000000" w:csb0="00000093" w:csb1="00000000"/>
  </w:font>
  <w:font w:name="ITC Franklin Gothic Std Med">
    <w:altName w:val="Cambria"/>
    <w:panose1 w:val="020B0704030503020204"/>
    <w:charset w:val="4D"/>
    <w:family w:val="swiss"/>
    <w:notTrueType/>
    <w:pitch w:val="variable"/>
    <w:sig w:usb0="00000003" w:usb1="00000000" w:usb2="00000000" w:usb3="00000000" w:csb0="00000001" w:csb1="00000000"/>
  </w:font>
  <w:font w:name="Chaparral Pro SmBd">
    <w:altName w:val="Calibri"/>
    <w:panose1 w:val="02060603040505020203"/>
    <w:charset w:val="4D"/>
    <w:family w:val="roman"/>
    <w:notTrueType/>
    <w:pitch w:val="variable"/>
    <w:sig w:usb0="00000007" w:usb1="00000001" w:usb2="00000000" w:usb3="00000000" w:csb0="00000093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B6133" w:rsidRPr="000B6133" w:rsidRDefault="000B6133" w:rsidP="000B6133">
    <w:pPr>
      <w:jc w:val="center"/>
      <w:rPr>
        <w:rFonts w:ascii="Arial" w:eastAsia="Times New Roman" w:hAnsi="Arial" w:cs="Arial"/>
        <w:color w:val="222222"/>
        <w:sz w:val="14"/>
        <w:szCs w:val="14"/>
        <w:shd w:val="clear" w:color="auto" w:fill="FFFFFF"/>
        <w:lang w:eastAsia="it-IT"/>
      </w:rPr>
    </w:pPr>
  </w:p>
  <w:p w:rsidR="000B6133" w:rsidRPr="000B6133" w:rsidRDefault="000B6133" w:rsidP="000B6133">
    <w:pPr>
      <w:jc w:val="center"/>
      <w:rPr>
        <w:rFonts w:ascii="Times New Roman" w:eastAsia="Times New Roman" w:hAnsi="Times New Roman" w:cs="Times New Roman"/>
        <w:sz w:val="14"/>
        <w:szCs w:val="14"/>
        <w:lang w:eastAsia="it-IT"/>
      </w:rPr>
    </w:pPr>
    <w:r w:rsidRPr="000B6133">
      <w:rPr>
        <w:rFonts w:ascii="Arial" w:eastAsia="Times New Roman" w:hAnsi="Arial" w:cs="Arial"/>
        <w:color w:val="222222"/>
        <w:sz w:val="14"/>
        <w:szCs w:val="14"/>
        <w:shd w:val="clear" w:color="auto" w:fill="FFFFFF"/>
        <w:lang w:eastAsia="it-IT"/>
      </w:rPr>
      <w:t xml:space="preserve">Giovanni Salviani, Giuliano </w:t>
    </w:r>
    <w:proofErr w:type="spellStart"/>
    <w:r w:rsidRPr="000B6133">
      <w:rPr>
        <w:rFonts w:ascii="Arial" w:eastAsia="Times New Roman" w:hAnsi="Arial" w:cs="Arial"/>
        <w:color w:val="222222"/>
        <w:sz w:val="14"/>
        <w:szCs w:val="14"/>
        <w:shd w:val="clear" w:color="auto" w:fill="FFFFFF"/>
        <w:lang w:eastAsia="it-IT"/>
      </w:rPr>
      <w:t>Fiorotto</w:t>
    </w:r>
    <w:proofErr w:type="spellEnd"/>
    <w:r w:rsidRPr="000B6133">
      <w:rPr>
        <w:rFonts w:ascii="Arial" w:eastAsia="Times New Roman" w:hAnsi="Arial" w:cs="Arial"/>
        <w:color w:val="222222"/>
        <w:sz w:val="14"/>
        <w:szCs w:val="14"/>
        <w:shd w:val="clear" w:color="auto" w:fill="FFFFFF"/>
        <w:lang w:eastAsia="it-IT"/>
      </w:rPr>
      <w:t>, </w:t>
    </w:r>
    <w:r w:rsidRPr="000B6133">
      <w:rPr>
        <w:rFonts w:ascii="Arial" w:eastAsia="Times New Roman" w:hAnsi="Arial" w:cs="Arial"/>
        <w:i/>
        <w:iCs/>
        <w:color w:val="222222"/>
        <w:sz w:val="14"/>
        <w:szCs w:val="14"/>
        <w:shd w:val="clear" w:color="auto" w:fill="FFFFFF"/>
        <w:lang w:eastAsia="it-IT"/>
      </w:rPr>
      <w:t>Chef Green</w:t>
    </w:r>
    <w:r w:rsidRPr="000B6133">
      <w:rPr>
        <w:rFonts w:ascii="Arial" w:eastAsia="Times New Roman" w:hAnsi="Arial" w:cs="Arial"/>
        <w:color w:val="222222"/>
        <w:sz w:val="14"/>
        <w:szCs w:val="14"/>
        <w:shd w:val="clear" w:color="auto" w:fill="FFFFFF"/>
        <w:lang w:eastAsia="it-IT"/>
      </w:rPr>
      <w:t> © Editore Ulrico Hoepli,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8710E" w:rsidRDefault="00D8710E" w:rsidP="000B6133">
      <w:r>
        <w:separator/>
      </w:r>
    </w:p>
  </w:footnote>
  <w:footnote w:type="continuationSeparator" w:id="0">
    <w:p w:rsidR="00D8710E" w:rsidRDefault="00D8710E" w:rsidP="000B61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FD76EEA"/>
    <w:multiLevelType w:val="hybridMultilevel"/>
    <w:tmpl w:val="90A22B6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96E0E5D"/>
    <w:multiLevelType w:val="hybridMultilevel"/>
    <w:tmpl w:val="7A1ACCD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29C5506"/>
    <w:multiLevelType w:val="hybridMultilevel"/>
    <w:tmpl w:val="01740B6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FEA4F88"/>
    <w:multiLevelType w:val="hybridMultilevel"/>
    <w:tmpl w:val="A38A981E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proofState w:spelling="clean" w:grammar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5054"/>
    <w:rsid w:val="000119C0"/>
    <w:rsid w:val="00025054"/>
    <w:rsid w:val="000B6133"/>
    <w:rsid w:val="00145DEF"/>
    <w:rsid w:val="001F7845"/>
    <w:rsid w:val="00300D8D"/>
    <w:rsid w:val="00412666"/>
    <w:rsid w:val="00421618"/>
    <w:rsid w:val="0058530F"/>
    <w:rsid w:val="0067434C"/>
    <w:rsid w:val="006961DC"/>
    <w:rsid w:val="00772820"/>
    <w:rsid w:val="008B558B"/>
    <w:rsid w:val="00A23A46"/>
    <w:rsid w:val="00AE29AB"/>
    <w:rsid w:val="00CD730A"/>
    <w:rsid w:val="00D02DF2"/>
    <w:rsid w:val="00D8710E"/>
    <w:rsid w:val="00DE52FE"/>
    <w:rsid w:val="00E844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45BFA7F0"/>
  <w14:defaultImageDpi w14:val="32767"/>
  <w15:chartTrackingRefBased/>
  <w15:docId w15:val="{4AAA5BA5-9531-0141-B9C4-C3C824DD9B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ESPROVA">
    <w:name w:val="ES_PROVA"/>
    <w:basedOn w:val="Normale"/>
    <w:uiPriority w:val="99"/>
    <w:rsid w:val="00025054"/>
    <w:pPr>
      <w:suppressAutoHyphens/>
      <w:autoSpaceDE w:val="0"/>
      <w:autoSpaceDN w:val="0"/>
      <w:adjustRightInd w:val="0"/>
      <w:spacing w:line="520" w:lineRule="atLeast"/>
      <w:textAlignment w:val="center"/>
    </w:pPr>
    <w:rPr>
      <w:rFonts w:ascii="TisaSansPro-ExtraBold" w:hAnsi="TisaSansPro-ExtraBold" w:cs="TisaSansPro-ExtraBold"/>
      <w:b/>
      <w:bCs/>
      <w:caps/>
      <w:color w:val="000000"/>
      <w:sz w:val="46"/>
      <w:szCs w:val="46"/>
    </w:rPr>
  </w:style>
  <w:style w:type="paragraph" w:customStyle="1" w:styleId="ESnuclei">
    <w:name w:val="ES_nuclei"/>
    <w:basedOn w:val="Normale"/>
    <w:uiPriority w:val="99"/>
    <w:rsid w:val="00025054"/>
    <w:pPr>
      <w:autoSpaceDE w:val="0"/>
      <w:autoSpaceDN w:val="0"/>
      <w:adjustRightInd w:val="0"/>
      <w:spacing w:before="28" w:line="260" w:lineRule="atLeast"/>
      <w:jc w:val="both"/>
      <w:textAlignment w:val="center"/>
    </w:pPr>
    <w:rPr>
      <w:rFonts w:ascii="ITC Franklin Gothic Std Book" w:hAnsi="ITC Franklin Gothic Std Book" w:cs="ITC Franklin Gothic Std Book"/>
      <w:color w:val="000000"/>
      <w:sz w:val="20"/>
      <w:szCs w:val="20"/>
    </w:rPr>
  </w:style>
  <w:style w:type="paragraph" w:customStyle="1" w:styleId="23APEelencoabcon">
    <w:name w:val="23_APE_elenco_ab_con"/>
    <w:basedOn w:val="Normale"/>
    <w:uiPriority w:val="99"/>
    <w:rsid w:val="00025054"/>
    <w:pPr>
      <w:tabs>
        <w:tab w:val="left" w:pos="283"/>
      </w:tabs>
      <w:suppressAutoHyphens/>
      <w:autoSpaceDE w:val="0"/>
      <w:autoSpaceDN w:val="0"/>
      <w:adjustRightInd w:val="0"/>
      <w:spacing w:before="28" w:line="210" w:lineRule="atLeast"/>
      <w:ind w:left="283" w:hanging="283"/>
      <w:textAlignment w:val="center"/>
    </w:pPr>
    <w:rPr>
      <w:rFonts w:ascii="ITC Franklin Gothic Std Book" w:hAnsi="ITC Franklin Gothic Std Book" w:cs="ITC Franklin Gothic Std Book"/>
      <w:color w:val="000000"/>
      <w:w w:val="95"/>
      <w:sz w:val="19"/>
      <w:szCs w:val="19"/>
    </w:rPr>
  </w:style>
  <w:style w:type="paragraph" w:customStyle="1" w:styleId="ESbranotesto">
    <w:name w:val="ES_brano_testo"/>
    <w:basedOn w:val="Normale"/>
    <w:uiPriority w:val="99"/>
    <w:rsid w:val="00025054"/>
    <w:pPr>
      <w:autoSpaceDE w:val="0"/>
      <w:autoSpaceDN w:val="0"/>
      <w:adjustRightInd w:val="0"/>
      <w:spacing w:line="230" w:lineRule="atLeast"/>
      <w:jc w:val="both"/>
      <w:textAlignment w:val="center"/>
    </w:pPr>
    <w:rPr>
      <w:rFonts w:ascii="Chaparral Pro" w:hAnsi="Chaparral Pro" w:cs="Chaparral Pro"/>
      <w:color w:val="000000"/>
      <w:sz w:val="20"/>
      <w:szCs w:val="20"/>
    </w:rPr>
  </w:style>
  <w:style w:type="paragraph" w:customStyle="1" w:styleId="ESbranoT1">
    <w:name w:val="ES_brano_T1"/>
    <w:basedOn w:val="Normale"/>
    <w:uiPriority w:val="99"/>
    <w:rsid w:val="00025054"/>
    <w:pPr>
      <w:pBdr>
        <w:bottom w:val="single" w:sz="6" w:space="2" w:color="B21D27"/>
      </w:pBdr>
      <w:suppressAutoHyphens/>
      <w:autoSpaceDE w:val="0"/>
      <w:autoSpaceDN w:val="0"/>
      <w:adjustRightInd w:val="0"/>
      <w:spacing w:after="57" w:line="240" w:lineRule="atLeast"/>
      <w:textAlignment w:val="center"/>
    </w:pPr>
    <w:rPr>
      <w:rFonts w:ascii="ITC Franklin Gothic Std Book" w:hAnsi="ITC Franklin Gothic Std Book" w:cs="ITC Franklin Gothic Std Book"/>
      <w:color w:val="000000"/>
      <w:sz w:val="22"/>
      <w:szCs w:val="22"/>
    </w:rPr>
  </w:style>
  <w:style w:type="paragraph" w:customStyle="1" w:styleId="ESdocumento">
    <w:name w:val="ES_documento"/>
    <w:basedOn w:val="Normale"/>
    <w:uiPriority w:val="99"/>
    <w:rsid w:val="00025054"/>
    <w:pPr>
      <w:suppressAutoHyphens/>
      <w:autoSpaceDE w:val="0"/>
      <w:autoSpaceDN w:val="0"/>
      <w:adjustRightInd w:val="0"/>
      <w:spacing w:before="227" w:line="200" w:lineRule="atLeast"/>
      <w:textAlignment w:val="center"/>
    </w:pPr>
    <w:rPr>
      <w:rFonts w:ascii="ITC Franklin Gothic Std Book" w:hAnsi="ITC Franklin Gothic Std Book" w:cs="ITC Franklin Gothic Std Book"/>
      <w:caps/>
      <w:color w:val="FFFFFF"/>
      <w:sz w:val="18"/>
      <w:szCs w:val="18"/>
      <w:u w:val="thick" w:color="B1AFA1"/>
    </w:rPr>
  </w:style>
  <w:style w:type="paragraph" w:customStyle="1" w:styleId="ESbranoT2">
    <w:name w:val="ES_brano_T2"/>
    <w:basedOn w:val="Normale"/>
    <w:uiPriority w:val="99"/>
    <w:rsid w:val="00025054"/>
    <w:pPr>
      <w:suppressAutoHyphens/>
      <w:autoSpaceDE w:val="0"/>
      <w:autoSpaceDN w:val="0"/>
      <w:adjustRightInd w:val="0"/>
      <w:spacing w:before="227" w:line="200" w:lineRule="atLeast"/>
      <w:textAlignment w:val="center"/>
    </w:pPr>
    <w:rPr>
      <w:rFonts w:ascii="ITC Franklin Gothic Std Book" w:hAnsi="ITC Franklin Gothic Std Book" w:cs="ITC Franklin Gothic Std Book"/>
      <w:color w:val="B21D27"/>
      <w:sz w:val="18"/>
      <w:szCs w:val="18"/>
    </w:rPr>
  </w:style>
  <w:style w:type="paragraph" w:customStyle="1" w:styleId="ESbranoelencopallo">
    <w:name w:val="ES_brano_elenco_pallo"/>
    <w:basedOn w:val="Normale"/>
    <w:uiPriority w:val="99"/>
    <w:rsid w:val="00025054"/>
    <w:pPr>
      <w:autoSpaceDE w:val="0"/>
      <w:autoSpaceDN w:val="0"/>
      <w:adjustRightInd w:val="0"/>
      <w:spacing w:line="230" w:lineRule="atLeast"/>
      <w:ind w:left="227" w:hanging="227"/>
      <w:jc w:val="both"/>
      <w:textAlignment w:val="center"/>
    </w:pPr>
    <w:rPr>
      <w:rFonts w:ascii="Chaparral Pro" w:hAnsi="Chaparral Pro" w:cs="Chaparral Pro"/>
      <w:color w:val="000000"/>
      <w:sz w:val="20"/>
      <w:szCs w:val="20"/>
    </w:rPr>
  </w:style>
  <w:style w:type="paragraph" w:customStyle="1" w:styleId="ESbranofonte">
    <w:name w:val="ES_brano_fonte"/>
    <w:basedOn w:val="Normale"/>
    <w:uiPriority w:val="99"/>
    <w:rsid w:val="00025054"/>
    <w:pPr>
      <w:suppressAutoHyphens/>
      <w:autoSpaceDE w:val="0"/>
      <w:autoSpaceDN w:val="0"/>
      <w:adjustRightInd w:val="0"/>
      <w:spacing w:before="113" w:line="220" w:lineRule="atLeast"/>
      <w:jc w:val="right"/>
      <w:textAlignment w:val="center"/>
    </w:pPr>
    <w:rPr>
      <w:rFonts w:ascii="Chaparral Pro" w:hAnsi="Chaparral Pro" w:cs="Chaparral Pro"/>
      <w:color w:val="000000"/>
      <w:sz w:val="18"/>
      <w:szCs w:val="18"/>
    </w:rPr>
  </w:style>
  <w:style w:type="paragraph" w:customStyle="1" w:styleId="ESesercizitestonorientro">
    <w:name w:val="ES_esercizi_testo_no rientro"/>
    <w:basedOn w:val="Normale"/>
    <w:uiPriority w:val="99"/>
    <w:rsid w:val="00025054"/>
    <w:pPr>
      <w:autoSpaceDE w:val="0"/>
      <w:autoSpaceDN w:val="0"/>
      <w:adjustRightInd w:val="0"/>
      <w:spacing w:line="260" w:lineRule="atLeast"/>
      <w:jc w:val="both"/>
      <w:textAlignment w:val="center"/>
    </w:pPr>
    <w:rPr>
      <w:rFonts w:ascii="ITC Franklin Gothic Std Book" w:hAnsi="ITC Franklin Gothic Std Book" w:cs="ITC Franklin Gothic Std Book"/>
      <w:color w:val="000000"/>
      <w:sz w:val="20"/>
      <w:szCs w:val="20"/>
    </w:rPr>
  </w:style>
  <w:style w:type="paragraph" w:customStyle="1" w:styleId="ESeserciziconsegna">
    <w:name w:val="ES_esercizi_consegna"/>
    <w:basedOn w:val="Normale"/>
    <w:uiPriority w:val="99"/>
    <w:rsid w:val="00025054"/>
    <w:pPr>
      <w:tabs>
        <w:tab w:val="left" w:pos="397"/>
      </w:tabs>
      <w:autoSpaceDE w:val="0"/>
      <w:autoSpaceDN w:val="0"/>
      <w:adjustRightInd w:val="0"/>
      <w:spacing w:before="283" w:line="260" w:lineRule="atLeast"/>
      <w:ind w:left="397" w:hanging="397"/>
      <w:jc w:val="both"/>
      <w:textAlignment w:val="center"/>
    </w:pPr>
    <w:rPr>
      <w:rFonts w:ascii="ITC Franklin Gothic Std Book" w:hAnsi="ITC Franklin Gothic Std Book" w:cs="ITC Franklin Gothic Std Book"/>
      <w:color w:val="000000"/>
      <w:sz w:val="20"/>
      <w:szCs w:val="20"/>
    </w:rPr>
  </w:style>
  <w:style w:type="paragraph" w:customStyle="1" w:styleId="ESesercizitesto">
    <w:name w:val="ES_esercizi_testo"/>
    <w:basedOn w:val="Normale"/>
    <w:uiPriority w:val="99"/>
    <w:rsid w:val="00025054"/>
    <w:pPr>
      <w:autoSpaceDE w:val="0"/>
      <w:autoSpaceDN w:val="0"/>
      <w:adjustRightInd w:val="0"/>
      <w:spacing w:line="260" w:lineRule="atLeast"/>
      <w:ind w:left="397"/>
      <w:jc w:val="both"/>
      <w:textAlignment w:val="center"/>
    </w:pPr>
    <w:rPr>
      <w:rFonts w:ascii="ITC Franklin Gothic Std Book" w:hAnsi="ITC Franklin Gothic Std Book" w:cs="ITC Franklin Gothic Std Book"/>
      <w:color w:val="000000"/>
      <w:sz w:val="20"/>
      <w:szCs w:val="20"/>
    </w:rPr>
  </w:style>
  <w:style w:type="character" w:customStyle="1" w:styleId="PROVEfranklinmedium">
    <w:name w:val="PROVE_franklin_medium"/>
    <w:uiPriority w:val="99"/>
    <w:rsid w:val="00025054"/>
    <w:rPr>
      <w:rFonts w:ascii="ITC Franklin Gothic Std Med" w:hAnsi="ITC Franklin Gothic Std Med" w:cs="ITC Franklin Gothic Std Med"/>
    </w:rPr>
  </w:style>
  <w:style w:type="character" w:customStyle="1" w:styleId="ESbranosemibold">
    <w:name w:val="ES_brano_semibold"/>
    <w:uiPriority w:val="99"/>
    <w:rsid w:val="00025054"/>
    <w:rPr>
      <w:rFonts w:ascii="Chaparral Pro SmBd" w:hAnsi="Chaparral Pro SmBd" w:cs="Chaparral Pro SmBd"/>
    </w:rPr>
  </w:style>
  <w:style w:type="character" w:customStyle="1" w:styleId="ESesercizidemi">
    <w:name w:val="ES_esercizi_demi"/>
    <w:uiPriority w:val="99"/>
    <w:rsid w:val="00025054"/>
    <w:rPr>
      <w:rFonts w:ascii="ITC Franklin Gothic Std Book" w:hAnsi="ITC Franklin Gothic Std Book" w:cs="ITC Franklin Gothic Std Book"/>
    </w:rPr>
  </w:style>
  <w:style w:type="paragraph" w:styleId="Intestazione">
    <w:name w:val="header"/>
    <w:basedOn w:val="Normale"/>
    <w:link w:val="IntestazioneCarattere"/>
    <w:uiPriority w:val="99"/>
    <w:unhideWhenUsed/>
    <w:rsid w:val="000B6133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0B6133"/>
  </w:style>
  <w:style w:type="paragraph" w:styleId="Pidipagina">
    <w:name w:val="footer"/>
    <w:basedOn w:val="Normale"/>
    <w:link w:val="PidipaginaCarattere"/>
    <w:uiPriority w:val="99"/>
    <w:unhideWhenUsed/>
    <w:rsid w:val="000B6133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0B613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975</Words>
  <Characters>5559</Characters>
  <Application>Microsoft Office Word</Application>
  <DocSecurity>0</DocSecurity>
  <Lines>46</Lines>
  <Paragraphs>13</Paragraphs>
  <ScaleCrop>false</ScaleCrop>
  <Company/>
  <LinksUpToDate>false</LinksUpToDate>
  <CharactersWithSpaces>6521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Utente di Microsoft Office</dc:creator>
  <cp:keywords/>
  <dc:description/>
  <cp:lastModifiedBy>Utente di Microsoft Office</cp:lastModifiedBy>
  <cp:revision>16</cp:revision>
  <dcterms:created xsi:type="dcterms:W3CDTF">2024-02-29T10:40:00Z</dcterms:created>
  <dcterms:modified xsi:type="dcterms:W3CDTF">2024-02-29T11:28:00Z</dcterms:modified>
</cp:coreProperties>
</file>