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7A5A" w:rsidRPr="00977A5A" w:rsidRDefault="00977A5A" w:rsidP="00977A5A">
      <w:pPr>
        <w:pStyle w:val="ESPROVA"/>
        <w:spacing w:after="113"/>
        <w:rPr>
          <w:color w:val="000000" w:themeColor="text1"/>
        </w:rPr>
      </w:pPr>
      <w:r w:rsidRPr="00977A5A">
        <w:rPr>
          <w:color w:val="000000" w:themeColor="text1"/>
        </w:rPr>
        <w:t>PROVA 1</w:t>
      </w:r>
    </w:p>
    <w:p w:rsidR="00977A5A" w:rsidRPr="00977A5A" w:rsidRDefault="00977A5A" w:rsidP="00977A5A">
      <w:pPr>
        <w:pStyle w:val="ESnuclei"/>
        <w:rPr>
          <w:color w:val="000000" w:themeColor="text1"/>
        </w:rPr>
      </w:pPr>
    </w:p>
    <w:p w:rsidR="00977A5A" w:rsidRPr="00977A5A" w:rsidRDefault="00977A5A" w:rsidP="00977A5A">
      <w:pPr>
        <w:pStyle w:val="23APEelencoabcon"/>
        <w:spacing w:before="198"/>
        <w:ind w:left="0" w:firstLine="0"/>
        <w:rPr>
          <w:rFonts w:ascii="ITC Franklin Gothic Std Med" w:hAnsi="ITC Franklin Gothic Std Med" w:cs="ITC Franklin Gothic Std Med"/>
          <w:b/>
          <w:caps/>
          <w:color w:val="000000" w:themeColor="text1"/>
          <w:sz w:val="24"/>
          <w:szCs w:val="24"/>
        </w:rPr>
      </w:pPr>
      <w:r w:rsidRPr="00977A5A">
        <w:rPr>
          <w:rFonts w:ascii="ITC Franklin Gothic Std Med" w:hAnsi="ITC Franklin Gothic Std Med" w:cs="ITC Franklin Gothic Std Med"/>
          <w:b/>
          <w:caps/>
          <w:color w:val="000000" w:themeColor="text1"/>
          <w:sz w:val="24"/>
          <w:szCs w:val="24"/>
        </w:rPr>
        <w:t>TIPOLOGIA A</w:t>
      </w:r>
    </w:p>
    <w:p w:rsidR="00977A5A" w:rsidRPr="00977A5A" w:rsidRDefault="00977A5A" w:rsidP="00977A5A">
      <w:pPr>
        <w:pStyle w:val="ESnuclei"/>
        <w:rPr>
          <w:color w:val="000000" w:themeColor="text1"/>
        </w:rPr>
      </w:pPr>
      <w:r w:rsidRPr="00977A5A">
        <w:rPr>
          <w:rStyle w:val="PROVEfranklinmedium"/>
          <w:color w:val="000000" w:themeColor="text1"/>
        </w:rPr>
        <w:t>NUCLEO TEMATICO FONDAMENTALE 1</w:t>
      </w:r>
      <w:r w:rsidRPr="00977A5A">
        <w:rPr>
          <w:color w:val="000000" w:themeColor="text1"/>
        </w:rPr>
        <w:t xml:space="preserve"> Predisposizione di prodotti e/o servizi che abbiano come riferimento i bisogni, le attese e i profili dietetici e/o culturali del cliente, focalizzandosi, in particolare, sugli stili di alimentazione, sui contesti culturali e sui modelli di ospitalità.</w:t>
      </w:r>
    </w:p>
    <w:p w:rsidR="00977A5A" w:rsidRPr="00977A5A" w:rsidRDefault="00977A5A" w:rsidP="00977A5A">
      <w:pPr>
        <w:pStyle w:val="ESbranotesto"/>
        <w:rPr>
          <w:color w:val="000000" w:themeColor="text1"/>
        </w:rPr>
      </w:pPr>
    </w:p>
    <w:p w:rsidR="00977A5A" w:rsidRPr="00977A5A" w:rsidRDefault="00977A5A" w:rsidP="00977A5A">
      <w:pPr>
        <w:pStyle w:val="ESbranotesto"/>
        <w:rPr>
          <w:color w:val="000000" w:themeColor="text1"/>
        </w:rPr>
      </w:pPr>
    </w:p>
    <w:p w:rsidR="00977A5A" w:rsidRPr="00977A5A" w:rsidRDefault="00977A5A" w:rsidP="00977A5A">
      <w:pPr>
        <w:pStyle w:val="ESnuclei"/>
        <w:rPr>
          <w:color w:val="000000" w:themeColor="text1"/>
        </w:rPr>
      </w:pPr>
      <w:r w:rsidRPr="00977A5A">
        <w:rPr>
          <w:rStyle w:val="PROVEfranklinmedium"/>
          <w:caps/>
          <w:color w:val="000000" w:themeColor="text1"/>
        </w:rPr>
        <w:t>FOCUS CONCETTUALE</w:t>
      </w:r>
      <w:r w:rsidRPr="00977A5A">
        <w:rPr>
          <w:color w:val="000000" w:themeColor="text1"/>
        </w:rPr>
        <w:t>: la centralità del cliente</w:t>
      </w:r>
    </w:p>
    <w:p w:rsidR="00977A5A" w:rsidRPr="00977A5A" w:rsidRDefault="00977A5A" w:rsidP="00977A5A">
      <w:pPr>
        <w:pStyle w:val="ESnuclei"/>
        <w:rPr>
          <w:color w:val="000000" w:themeColor="text1"/>
        </w:rPr>
      </w:pPr>
      <w:r w:rsidRPr="00977A5A">
        <w:rPr>
          <w:rStyle w:val="PROVEfranklinmedium"/>
          <w:color w:val="000000" w:themeColor="text1"/>
        </w:rPr>
        <w:t>TARGET DI DESTINAZIONE</w:t>
      </w:r>
      <w:r w:rsidRPr="00977A5A">
        <w:rPr>
          <w:color w:val="000000" w:themeColor="text1"/>
        </w:rPr>
        <w:t>: alimentazione, ospitalità, contesto fisico/culturale</w:t>
      </w:r>
    </w:p>
    <w:p w:rsidR="00977A5A" w:rsidRPr="00977A5A" w:rsidRDefault="00977A5A" w:rsidP="00977A5A">
      <w:pPr>
        <w:pStyle w:val="ESbranotesto"/>
        <w:rPr>
          <w:b/>
          <w:bCs/>
          <w:color w:val="000000" w:themeColor="text1"/>
        </w:rPr>
      </w:pPr>
    </w:p>
    <w:p w:rsidR="00977A5A" w:rsidRPr="00977A5A" w:rsidRDefault="00977A5A" w:rsidP="00977A5A">
      <w:pPr>
        <w:pStyle w:val="ESbranoT1"/>
        <w:spacing w:after="0"/>
        <w:rPr>
          <w:b/>
          <w:color w:val="000000" w:themeColor="text1"/>
        </w:rPr>
      </w:pPr>
      <w:r w:rsidRPr="00977A5A">
        <w:rPr>
          <w:b/>
          <w:color w:val="000000" w:themeColor="text1"/>
        </w:rPr>
        <w:t xml:space="preserve">La ristorazione al servizio dei clienti affetti da celiachia </w:t>
      </w:r>
    </w:p>
    <w:p w:rsidR="00977A5A" w:rsidRPr="00367BE2" w:rsidRDefault="00977A5A" w:rsidP="00977A5A">
      <w:pPr>
        <w:pStyle w:val="ESdocumento"/>
        <w:spacing w:before="283"/>
        <w:rPr>
          <w:b/>
          <w:color w:val="000000" w:themeColor="text1"/>
        </w:rPr>
      </w:pPr>
      <w:r w:rsidRPr="00367BE2">
        <w:rPr>
          <w:b/>
          <w:color w:val="000000" w:themeColor="text1"/>
        </w:rPr>
        <w:t xml:space="preserve">Documento 1 </w:t>
      </w:r>
    </w:p>
    <w:p w:rsidR="00977A5A" w:rsidRPr="00367BE2" w:rsidRDefault="00977A5A" w:rsidP="00977A5A">
      <w:pPr>
        <w:pStyle w:val="ESbranoT2"/>
        <w:spacing w:before="170"/>
        <w:rPr>
          <w:b/>
          <w:color w:val="000000" w:themeColor="text1"/>
        </w:rPr>
      </w:pPr>
      <w:r w:rsidRPr="00367BE2">
        <w:rPr>
          <w:b/>
          <w:color w:val="000000" w:themeColor="text1"/>
        </w:rPr>
        <w:t>Celiachia: aspetti epidemiologici In Italia</w:t>
      </w:r>
    </w:p>
    <w:p w:rsidR="00977A5A" w:rsidRPr="00977A5A" w:rsidRDefault="00977A5A" w:rsidP="00977A5A">
      <w:pPr>
        <w:pStyle w:val="ESbranotesto"/>
        <w:rPr>
          <w:color w:val="000000" w:themeColor="text1"/>
        </w:rPr>
      </w:pPr>
      <w:r w:rsidRPr="00977A5A">
        <w:rPr>
          <w:color w:val="000000" w:themeColor="text1"/>
        </w:rPr>
        <w:t>La celiachia è un’enteropatia infiammatoria, la stima della sua prevalenza si aggira intorno all’1%: è stato calcolato che nella popolazione italiana il numero totale di celiaci si aggiri intorno ai 600.000, contro gli oltre 241.000 a oggi diagnosticati. I dati italiani vengono pubblicati ogni anno nella relazione al Parlamento, e l’ultima è stata pubblicata ad aprile 2023. Dai dati del 2021 in Italia risultano diagnosticati 241.729 celiaci, di cui il 70% (168.385) appartenenti alla popolazione femminile e il restante 30% (73.344) a quella maschile. La celiachia risulta concentrata nella fascia di età tra i 18 e i 59 anni.</w:t>
      </w:r>
    </w:p>
    <w:p w:rsidR="00977A5A" w:rsidRDefault="00977A5A" w:rsidP="00977A5A">
      <w:pPr>
        <w:pStyle w:val="ESbranofonte"/>
        <w:rPr>
          <w:color w:val="000000" w:themeColor="text1"/>
        </w:rPr>
      </w:pPr>
      <w:r w:rsidRPr="00977A5A">
        <w:rPr>
          <w:color w:val="000000" w:themeColor="text1"/>
        </w:rPr>
        <w:t>(Fonte: Ministero della Salute)</w:t>
      </w:r>
    </w:p>
    <w:p w:rsidR="00DE009E" w:rsidRDefault="00DE009E" w:rsidP="00977A5A">
      <w:pPr>
        <w:pStyle w:val="ESbranofonte"/>
        <w:rPr>
          <w:color w:val="000000" w:themeColor="text1"/>
        </w:rPr>
      </w:pPr>
    </w:p>
    <w:p w:rsidR="00DE009E" w:rsidRDefault="00DE009E" w:rsidP="00DE009E">
      <w:pPr>
        <w:pStyle w:val="ESbranofonte"/>
        <w:jc w:val="center"/>
        <w:rPr>
          <w:color w:val="000000" w:themeColor="text1"/>
        </w:rPr>
      </w:pPr>
      <w:r>
        <w:rPr>
          <w:noProof/>
          <w:color w:val="000000" w:themeColor="text1"/>
        </w:rPr>
        <w:drawing>
          <wp:inline distT="0" distB="0" distL="0" distR="0">
            <wp:extent cx="2607757" cy="2680046"/>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_1.png"/>
                    <pic:cNvPicPr/>
                  </pic:nvPicPr>
                  <pic:blipFill>
                    <a:blip r:embed="rId7">
                      <a:extLst>
                        <a:ext uri="{28A0092B-C50C-407E-A947-70E740481C1C}">
                          <a14:useLocalDpi xmlns:a14="http://schemas.microsoft.com/office/drawing/2010/main" val="0"/>
                        </a:ext>
                      </a:extLst>
                    </a:blip>
                    <a:stretch>
                      <a:fillRect/>
                    </a:stretch>
                  </pic:blipFill>
                  <pic:spPr>
                    <a:xfrm>
                      <a:off x="0" y="0"/>
                      <a:ext cx="2635596" cy="2708656"/>
                    </a:xfrm>
                    <a:prstGeom prst="rect">
                      <a:avLst/>
                    </a:prstGeom>
                  </pic:spPr>
                </pic:pic>
              </a:graphicData>
            </a:graphic>
          </wp:inline>
        </w:drawing>
      </w:r>
    </w:p>
    <w:p w:rsidR="00DE009E" w:rsidRDefault="00DE009E" w:rsidP="00DE009E">
      <w:pPr>
        <w:pStyle w:val="ESbranofonte"/>
        <w:jc w:val="center"/>
        <w:rPr>
          <w:color w:val="000000" w:themeColor="text1"/>
        </w:rPr>
      </w:pPr>
      <w:r>
        <w:rPr>
          <w:noProof/>
          <w:color w:val="000000" w:themeColor="text1"/>
        </w:rPr>
        <w:drawing>
          <wp:inline distT="0" distB="0" distL="0" distR="0">
            <wp:extent cx="2759312" cy="1836295"/>
            <wp:effectExtent l="0" t="0" r="0" b="571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_2.png"/>
                    <pic:cNvPicPr/>
                  </pic:nvPicPr>
                  <pic:blipFill>
                    <a:blip r:embed="rId8">
                      <a:extLst>
                        <a:ext uri="{28A0092B-C50C-407E-A947-70E740481C1C}">
                          <a14:useLocalDpi xmlns:a14="http://schemas.microsoft.com/office/drawing/2010/main" val="0"/>
                        </a:ext>
                      </a:extLst>
                    </a:blip>
                    <a:stretch>
                      <a:fillRect/>
                    </a:stretch>
                  </pic:blipFill>
                  <pic:spPr>
                    <a:xfrm>
                      <a:off x="0" y="0"/>
                      <a:ext cx="2780262" cy="1850237"/>
                    </a:xfrm>
                    <a:prstGeom prst="rect">
                      <a:avLst/>
                    </a:prstGeom>
                  </pic:spPr>
                </pic:pic>
              </a:graphicData>
            </a:graphic>
          </wp:inline>
        </w:drawing>
      </w:r>
    </w:p>
    <w:p w:rsidR="00DE009E" w:rsidRPr="00977A5A" w:rsidRDefault="00DE009E" w:rsidP="00977A5A">
      <w:pPr>
        <w:pStyle w:val="ESbranofonte"/>
        <w:rPr>
          <w:color w:val="000000" w:themeColor="text1"/>
        </w:rPr>
      </w:pPr>
    </w:p>
    <w:p w:rsidR="00977A5A" w:rsidRPr="00367BE2" w:rsidRDefault="00977A5A" w:rsidP="00977A5A">
      <w:pPr>
        <w:pStyle w:val="ESdocumento"/>
        <w:spacing w:before="283"/>
        <w:rPr>
          <w:b/>
          <w:color w:val="000000" w:themeColor="text1"/>
        </w:rPr>
      </w:pPr>
      <w:r w:rsidRPr="00367BE2">
        <w:rPr>
          <w:b/>
          <w:color w:val="000000" w:themeColor="text1"/>
        </w:rPr>
        <w:t xml:space="preserve">Documento 2 </w:t>
      </w:r>
    </w:p>
    <w:p w:rsidR="00977A5A" w:rsidRPr="00367BE2" w:rsidRDefault="00977A5A" w:rsidP="00977A5A">
      <w:pPr>
        <w:pStyle w:val="ESbranoT2"/>
        <w:spacing w:before="170"/>
        <w:rPr>
          <w:b/>
          <w:color w:val="000000" w:themeColor="text1"/>
        </w:rPr>
      </w:pPr>
      <w:r w:rsidRPr="00367BE2">
        <w:rPr>
          <w:b/>
          <w:color w:val="000000" w:themeColor="text1"/>
        </w:rPr>
        <w:t>Prodotti senza glutine, mercato da oltre 400 milioni e vendite in aumento del 6%</w:t>
      </w:r>
    </w:p>
    <w:p w:rsidR="00977A5A" w:rsidRPr="00977A5A" w:rsidRDefault="00977A5A" w:rsidP="00977A5A">
      <w:pPr>
        <w:pStyle w:val="ESbranotesto"/>
        <w:rPr>
          <w:color w:val="000000" w:themeColor="text1"/>
        </w:rPr>
      </w:pPr>
      <w:r w:rsidRPr="00977A5A">
        <w:rPr>
          <w:color w:val="000000" w:themeColor="text1"/>
        </w:rPr>
        <w:t>Acquistati in GDO 10.000 tonnellate di pasta e quasi 15.000 tonnellate di sostitutivi del pane “</w:t>
      </w:r>
      <w:proofErr w:type="spellStart"/>
      <w:r w:rsidRPr="00977A5A">
        <w:rPr>
          <w:color w:val="000000" w:themeColor="text1"/>
        </w:rPr>
        <w:t>gluten</w:t>
      </w:r>
      <w:proofErr w:type="spellEnd"/>
      <w:r w:rsidRPr="00977A5A">
        <w:rPr>
          <w:color w:val="000000" w:themeColor="text1"/>
        </w:rPr>
        <w:t xml:space="preserve"> free”. I casi di celiachia stimati sono più di 400.000, ma quelli diagnosticati sono molti meno: 233.147.</w:t>
      </w:r>
    </w:p>
    <w:p w:rsidR="00977A5A" w:rsidRPr="00977A5A" w:rsidRDefault="00977A5A" w:rsidP="00977A5A">
      <w:pPr>
        <w:pStyle w:val="ESbranotesto"/>
        <w:rPr>
          <w:color w:val="000000" w:themeColor="text1"/>
        </w:rPr>
      </w:pPr>
      <w:r w:rsidRPr="00977A5A">
        <w:rPr>
          <w:color w:val="000000" w:themeColor="text1"/>
        </w:rPr>
        <w:t xml:space="preserve">Sono “solo” 233.147 i celiaci diagnosticati in Italia. Ma nel 2022 sono stati acquistati in GDO </w:t>
      </w:r>
      <w:r w:rsidRPr="00977A5A">
        <w:rPr>
          <w:rStyle w:val="ESbranosemibold"/>
          <w:color w:val="000000" w:themeColor="text1"/>
        </w:rPr>
        <w:t>oltre 10.000 tonnellate di pasta e quasi 15.000 tonnellate di sostitutivi del pane “</w:t>
      </w:r>
      <w:proofErr w:type="spellStart"/>
      <w:r w:rsidRPr="00977A5A">
        <w:rPr>
          <w:rStyle w:val="ESbranosemibold"/>
          <w:color w:val="000000" w:themeColor="text1"/>
        </w:rPr>
        <w:t>gluten</w:t>
      </w:r>
      <w:proofErr w:type="spellEnd"/>
      <w:r w:rsidRPr="00977A5A">
        <w:rPr>
          <w:rStyle w:val="ESbranosemibold"/>
          <w:color w:val="000000" w:themeColor="text1"/>
        </w:rPr>
        <w:t xml:space="preserve"> free”</w:t>
      </w:r>
      <w:r w:rsidRPr="00977A5A">
        <w:rPr>
          <w:color w:val="000000" w:themeColor="text1"/>
        </w:rPr>
        <w:t>, aumentandone i volumi comprati (rispettivamente +4,2% e +3,6% sul 2021) e la cifra spesa (+6%), evidenziando quindi maggior disposizione a pagare di più per i prodotti senza glutine. Complice anche il contributo del Servizio sanitario nazionale, che nel 2020 (ultimo dato disponibile) ha speso oltre 209 milioni di euro per sostenere l’acquisto dei prodotti senza glutine, spendendo circa 1000 anno pro capite in media.</w:t>
      </w:r>
    </w:p>
    <w:p w:rsidR="00977A5A" w:rsidRPr="00977A5A" w:rsidRDefault="00977A5A" w:rsidP="00977A5A">
      <w:pPr>
        <w:pStyle w:val="ESbranotesto"/>
        <w:rPr>
          <w:color w:val="000000" w:themeColor="text1"/>
        </w:rPr>
      </w:pPr>
      <w:r w:rsidRPr="00977A5A">
        <w:rPr>
          <w:color w:val="000000" w:themeColor="text1"/>
        </w:rPr>
        <w:t xml:space="preserve">Anche per questo oggi i celiaci rappresentano un target molto ambito per le aziende alimentari, che stanno investendo sempre di più sul mondo del </w:t>
      </w:r>
      <w:proofErr w:type="spellStart"/>
      <w:r w:rsidRPr="00977A5A">
        <w:rPr>
          <w:color w:val="000000" w:themeColor="text1"/>
        </w:rPr>
        <w:t>gluten</w:t>
      </w:r>
      <w:proofErr w:type="spellEnd"/>
      <w:r w:rsidRPr="00977A5A">
        <w:rPr>
          <w:color w:val="000000" w:themeColor="text1"/>
        </w:rPr>
        <w:t xml:space="preserve"> free, artefice da alcuni anni di una costante crescita in GDO. </w:t>
      </w:r>
      <w:r w:rsidRPr="00977A5A">
        <w:rPr>
          <w:rStyle w:val="ESbranosemibold"/>
          <w:color w:val="000000" w:themeColor="text1"/>
        </w:rPr>
        <w:t xml:space="preserve">L’Associazione italiana celiachia (AIC) stima che in Italia il mondo </w:t>
      </w:r>
      <w:proofErr w:type="spellStart"/>
      <w:r w:rsidRPr="00977A5A">
        <w:rPr>
          <w:rStyle w:val="ESbranosemibold"/>
          <w:color w:val="000000" w:themeColor="text1"/>
        </w:rPr>
        <w:t>gluten</w:t>
      </w:r>
      <w:proofErr w:type="spellEnd"/>
      <w:r w:rsidRPr="00977A5A">
        <w:rPr>
          <w:rStyle w:val="ESbranosemibold"/>
          <w:color w:val="000000" w:themeColor="text1"/>
        </w:rPr>
        <w:t xml:space="preserve"> free valga 400 milioni di euro</w:t>
      </w:r>
      <w:r w:rsidRPr="00977A5A">
        <w:rPr>
          <w:color w:val="000000" w:themeColor="text1"/>
        </w:rPr>
        <w:t xml:space="preserve">, mentre a livello mondiale muove 1,6 miliardi di dollari e dovrebbe espandersi dell’11% entro il 2030 (fonte: </w:t>
      </w:r>
      <w:proofErr w:type="spellStart"/>
      <w:r w:rsidRPr="00977A5A">
        <w:rPr>
          <w:color w:val="000000" w:themeColor="text1"/>
        </w:rPr>
        <w:t>Grand</w:t>
      </w:r>
      <w:proofErr w:type="spellEnd"/>
      <w:r w:rsidRPr="00977A5A">
        <w:rPr>
          <w:color w:val="000000" w:themeColor="text1"/>
        </w:rPr>
        <w:t xml:space="preserve"> </w:t>
      </w:r>
      <w:proofErr w:type="spellStart"/>
      <w:r w:rsidRPr="00977A5A">
        <w:rPr>
          <w:color w:val="000000" w:themeColor="text1"/>
        </w:rPr>
        <w:t>View</w:t>
      </w:r>
      <w:proofErr w:type="spellEnd"/>
      <w:r w:rsidRPr="00977A5A">
        <w:rPr>
          <w:color w:val="000000" w:themeColor="text1"/>
        </w:rPr>
        <w:t xml:space="preserve"> </w:t>
      </w:r>
      <w:proofErr w:type="spellStart"/>
      <w:r w:rsidRPr="00977A5A">
        <w:rPr>
          <w:color w:val="000000" w:themeColor="text1"/>
        </w:rPr>
        <w:t>Research</w:t>
      </w:r>
      <w:proofErr w:type="spellEnd"/>
      <w:r w:rsidRPr="00977A5A">
        <w:rPr>
          <w:color w:val="000000" w:themeColor="text1"/>
        </w:rPr>
        <w:t>).</w:t>
      </w:r>
    </w:p>
    <w:p w:rsidR="00977A5A" w:rsidRPr="00977A5A" w:rsidRDefault="00977A5A" w:rsidP="00977A5A">
      <w:pPr>
        <w:pStyle w:val="ESbranotesto"/>
        <w:rPr>
          <w:color w:val="000000" w:themeColor="text1"/>
        </w:rPr>
      </w:pPr>
      <w:r w:rsidRPr="00977A5A">
        <w:rPr>
          <w:color w:val="000000" w:themeColor="text1"/>
        </w:rPr>
        <w:t>«Il mercato cresce perché aumentano i casi diagnosticati di celiachia, anche se sono ancora pochi rispetto ai 400.000 che stimiamo – spiega Caterina Pilo, direttore generale di AIC – e perché i prodotti formulati per i celiaci non sono più un monopolio delle farmacie ma si possono acquistare anche in altri canali distributivi».</w:t>
      </w:r>
    </w:p>
    <w:p w:rsidR="00977A5A" w:rsidRPr="00977A5A" w:rsidRDefault="00977A5A" w:rsidP="00977A5A">
      <w:pPr>
        <w:pStyle w:val="ESbranotesto"/>
        <w:rPr>
          <w:color w:val="000000" w:themeColor="text1"/>
          <w:spacing w:val="-2"/>
        </w:rPr>
      </w:pPr>
      <w:r w:rsidRPr="00977A5A">
        <w:rPr>
          <w:color w:val="000000" w:themeColor="text1"/>
          <w:spacing w:val="-2"/>
        </w:rPr>
        <w:t xml:space="preserve">Che il mercato del </w:t>
      </w:r>
      <w:proofErr w:type="spellStart"/>
      <w:r w:rsidRPr="00977A5A">
        <w:rPr>
          <w:color w:val="000000" w:themeColor="text1"/>
          <w:spacing w:val="-2"/>
        </w:rPr>
        <w:t>gluten</w:t>
      </w:r>
      <w:proofErr w:type="spellEnd"/>
      <w:r w:rsidRPr="00977A5A">
        <w:rPr>
          <w:color w:val="000000" w:themeColor="text1"/>
          <w:spacing w:val="-2"/>
        </w:rPr>
        <w:t xml:space="preserve"> free si stia spostando nella GDO</w:t>
      </w:r>
      <w:r w:rsidRPr="00977A5A">
        <w:rPr>
          <w:b/>
          <w:bCs/>
          <w:color w:val="000000" w:themeColor="text1"/>
          <w:spacing w:val="-2"/>
        </w:rPr>
        <w:t xml:space="preserve"> </w:t>
      </w:r>
      <w:r w:rsidRPr="00977A5A">
        <w:rPr>
          <w:color w:val="000000" w:themeColor="text1"/>
          <w:spacing w:val="-2"/>
        </w:rPr>
        <w:t xml:space="preserve">lo confermano anche le ultime mosse delle aziende del settore, che hanno inserito in supermercati e ipermercati i loro brand prima riservati alle farmacie, come hanno fatto il gruppo Lo Conte con Giusto e </w:t>
      </w:r>
      <w:proofErr w:type="spellStart"/>
      <w:r w:rsidRPr="00977A5A">
        <w:rPr>
          <w:color w:val="000000" w:themeColor="text1"/>
          <w:spacing w:val="-2"/>
        </w:rPr>
        <w:t>Andriani</w:t>
      </w:r>
      <w:proofErr w:type="spellEnd"/>
      <w:r w:rsidRPr="00977A5A">
        <w:rPr>
          <w:color w:val="000000" w:themeColor="text1"/>
          <w:spacing w:val="-2"/>
        </w:rPr>
        <w:t>/Felicia con Nove Alpi/</w:t>
      </w:r>
      <w:proofErr w:type="spellStart"/>
      <w:r w:rsidRPr="00977A5A">
        <w:rPr>
          <w:color w:val="000000" w:themeColor="text1"/>
          <w:spacing w:val="-2"/>
        </w:rPr>
        <w:t>Aglutèn</w:t>
      </w:r>
      <w:proofErr w:type="spellEnd"/>
      <w:r w:rsidRPr="00977A5A">
        <w:rPr>
          <w:color w:val="000000" w:themeColor="text1"/>
          <w:spacing w:val="-2"/>
        </w:rPr>
        <w:t xml:space="preserve">, con cui è entrata nel segmento del </w:t>
      </w:r>
      <w:proofErr w:type="spellStart"/>
      <w:r w:rsidRPr="00977A5A">
        <w:rPr>
          <w:color w:val="000000" w:themeColor="text1"/>
          <w:spacing w:val="-2"/>
        </w:rPr>
        <w:t>bakery</w:t>
      </w:r>
      <w:proofErr w:type="spellEnd"/>
      <w:r w:rsidRPr="00977A5A">
        <w:rPr>
          <w:color w:val="000000" w:themeColor="text1"/>
          <w:spacing w:val="-2"/>
        </w:rPr>
        <w:t xml:space="preserve"> senza glutine. Altri brand leader stanno espandendo la loro copertura del mercato, principalmente rilevando aziende specializzate (come ha fatto Morato), con l’obiettivo di presidiare l’intero universo del </w:t>
      </w:r>
      <w:proofErr w:type="spellStart"/>
      <w:r w:rsidRPr="00977A5A">
        <w:rPr>
          <w:color w:val="000000" w:themeColor="text1"/>
          <w:spacing w:val="-2"/>
        </w:rPr>
        <w:t>gluten</w:t>
      </w:r>
      <w:proofErr w:type="spellEnd"/>
      <w:r w:rsidRPr="00977A5A">
        <w:rPr>
          <w:color w:val="000000" w:themeColor="text1"/>
          <w:spacing w:val="-2"/>
        </w:rPr>
        <w:t xml:space="preserve"> free e di consolidare le loro quote.</w:t>
      </w:r>
    </w:p>
    <w:p w:rsidR="00977A5A" w:rsidRPr="00977A5A" w:rsidRDefault="00977A5A" w:rsidP="00977A5A">
      <w:pPr>
        <w:pStyle w:val="ESbranotesto"/>
        <w:rPr>
          <w:color w:val="000000" w:themeColor="text1"/>
          <w:spacing w:val="-3"/>
        </w:rPr>
      </w:pPr>
      <w:r w:rsidRPr="00977A5A">
        <w:rPr>
          <w:color w:val="000000" w:themeColor="text1"/>
          <w:spacing w:val="-3"/>
        </w:rPr>
        <w:t xml:space="preserve">L’ingresso di nuove aziende, il rinnovo dell’offerta e l’ampliamento dello spazio a scaffale stanno muovendo il mercato con innovazioni e lanci di prodotto si susseguono e cavalcano lo stesso “effetto moda” che guida il mondo del </w:t>
      </w:r>
      <w:proofErr w:type="spellStart"/>
      <w:r w:rsidRPr="00977A5A">
        <w:rPr>
          <w:color w:val="000000" w:themeColor="text1"/>
          <w:spacing w:val="-3"/>
        </w:rPr>
        <w:t>food&amp;beverage</w:t>
      </w:r>
      <w:proofErr w:type="spellEnd"/>
      <w:r w:rsidRPr="00977A5A">
        <w:rPr>
          <w:color w:val="000000" w:themeColor="text1"/>
          <w:spacing w:val="-3"/>
        </w:rPr>
        <w:t xml:space="preserve">. Così anche nel </w:t>
      </w:r>
      <w:proofErr w:type="spellStart"/>
      <w:r w:rsidRPr="00977A5A">
        <w:rPr>
          <w:color w:val="000000" w:themeColor="text1"/>
          <w:spacing w:val="-3"/>
        </w:rPr>
        <w:t>gluten</w:t>
      </w:r>
      <w:proofErr w:type="spellEnd"/>
      <w:r w:rsidRPr="00977A5A">
        <w:rPr>
          <w:color w:val="000000" w:themeColor="text1"/>
          <w:spacing w:val="-3"/>
        </w:rPr>
        <w:t xml:space="preserve"> free i fenomeni di mercato esplodono velocemente e si ridimensionano in fretta. Ora sta rientrando il boom delle paste di legumi, mentre si assiste a quello dei pani morbidi (+13%), degli snack di cereali (+34%), delle torte pronte (+35%) e della pasticceria surgelata (+91%). E già si profila all’orizzonte quella dei prodotti ad alto contenuto proteico, su cui sta puntando l’azienda specializzata </w:t>
      </w:r>
      <w:proofErr w:type="spellStart"/>
      <w:r w:rsidRPr="00977A5A">
        <w:rPr>
          <w:color w:val="000000" w:themeColor="text1"/>
          <w:spacing w:val="-3"/>
        </w:rPr>
        <w:t>Farmo</w:t>
      </w:r>
      <w:proofErr w:type="spellEnd"/>
      <w:r w:rsidRPr="00977A5A">
        <w:rPr>
          <w:color w:val="000000" w:themeColor="text1"/>
          <w:spacing w:val="-3"/>
        </w:rPr>
        <w:t>.</w:t>
      </w:r>
    </w:p>
    <w:p w:rsidR="00977A5A" w:rsidRPr="00977A5A" w:rsidRDefault="00977A5A" w:rsidP="00977A5A">
      <w:pPr>
        <w:pStyle w:val="ESbranotesto"/>
        <w:rPr>
          <w:color w:val="000000" w:themeColor="text1"/>
        </w:rPr>
      </w:pPr>
      <w:r w:rsidRPr="00977A5A">
        <w:rPr>
          <w:color w:val="000000" w:themeColor="text1"/>
        </w:rPr>
        <w:t xml:space="preserve">Importante è stato anche il lavoro di innovazione e </w:t>
      </w:r>
      <w:proofErr w:type="spellStart"/>
      <w:r w:rsidRPr="00977A5A">
        <w:rPr>
          <w:rStyle w:val="ESbranosemibold"/>
          <w:color w:val="000000" w:themeColor="text1"/>
        </w:rPr>
        <w:t>upgrading</w:t>
      </w:r>
      <w:proofErr w:type="spellEnd"/>
      <w:r w:rsidRPr="00977A5A">
        <w:rPr>
          <w:rStyle w:val="ESbranosemibold"/>
          <w:color w:val="000000" w:themeColor="text1"/>
        </w:rPr>
        <w:t xml:space="preserve"> qualitativo fatto sui prodotti formulati per celiaci, e in particolare su </w:t>
      </w:r>
      <w:proofErr w:type="spellStart"/>
      <w:r w:rsidRPr="00977A5A">
        <w:rPr>
          <w:rStyle w:val="ESbranosemibold"/>
          <w:color w:val="000000" w:themeColor="text1"/>
        </w:rPr>
        <w:t>texture</w:t>
      </w:r>
      <w:proofErr w:type="spellEnd"/>
      <w:r w:rsidRPr="00977A5A">
        <w:rPr>
          <w:rStyle w:val="ESbranosemibold"/>
          <w:color w:val="000000" w:themeColor="text1"/>
        </w:rPr>
        <w:t>, gusto e tenuta in cottura</w:t>
      </w:r>
      <w:r w:rsidRPr="00977A5A">
        <w:rPr>
          <w:color w:val="000000" w:themeColor="text1"/>
        </w:rPr>
        <w:t>. Il che, paradossalmente, li ha resi più appetibili non solo per allergici o intolleranti al glutine, ma anche per un pubblico più trasversale, attento al salutismo e al benessere che cerca prodotti alternativi a quelli di mass market.</w:t>
      </w:r>
    </w:p>
    <w:p w:rsidR="00977A5A" w:rsidRPr="00977A5A" w:rsidRDefault="00977A5A" w:rsidP="00977A5A">
      <w:pPr>
        <w:pStyle w:val="ESbranotesto"/>
        <w:rPr>
          <w:color w:val="000000" w:themeColor="text1"/>
          <w:spacing w:val="-2"/>
        </w:rPr>
      </w:pPr>
      <w:r w:rsidRPr="00977A5A">
        <w:rPr>
          <w:color w:val="000000" w:themeColor="text1"/>
          <w:spacing w:val="-2"/>
        </w:rPr>
        <w:t xml:space="preserve">«Le aziende si sono impegnate nella diversificazione delle materie prime, nella selezione di ingredienti di qualità e nella semplificazione delle ricette. E così i prodotti </w:t>
      </w:r>
      <w:proofErr w:type="spellStart"/>
      <w:r w:rsidRPr="00977A5A">
        <w:rPr>
          <w:color w:val="000000" w:themeColor="text1"/>
          <w:spacing w:val="-2"/>
        </w:rPr>
        <w:t>gluten</w:t>
      </w:r>
      <w:proofErr w:type="spellEnd"/>
      <w:r w:rsidRPr="00977A5A">
        <w:rPr>
          <w:color w:val="000000" w:themeColor="text1"/>
          <w:spacing w:val="-2"/>
        </w:rPr>
        <w:t xml:space="preserve"> free hanno ottenuto un profilo nutritivo più equilibrato e una maggiore piacevolezza organolettica» conferma Pilo. </w:t>
      </w:r>
      <w:r w:rsidRPr="00977A5A">
        <w:rPr>
          <w:rStyle w:val="ESbranosemibold"/>
          <w:color w:val="000000" w:themeColor="text1"/>
          <w:spacing w:val="-2"/>
        </w:rPr>
        <w:t>Sono oltre 2500 i prodotti licenziatari del logo della spiga sbarrata</w:t>
      </w:r>
      <w:r w:rsidRPr="00977A5A">
        <w:rPr>
          <w:b/>
          <w:bCs/>
          <w:color w:val="000000" w:themeColor="text1"/>
          <w:spacing w:val="-2"/>
        </w:rPr>
        <w:t xml:space="preserve"> </w:t>
      </w:r>
      <w:r w:rsidRPr="00977A5A">
        <w:rPr>
          <w:color w:val="000000" w:themeColor="text1"/>
          <w:spacing w:val="-2"/>
        </w:rPr>
        <w:t xml:space="preserve">rilasciato dall’AIC, che in un anno ha visto crescere l’offerta del 10% e ha realizzato oltre 630 milioni di vendite in </w:t>
      </w:r>
      <w:r w:rsidRPr="00977A5A">
        <w:rPr>
          <w:color w:val="000000" w:themeColor="text1"/>
        </w:rPr>
        <w:t>super e ipermercati, trainate dal trend di pani morbidi, cere</w:t>
      </w:r>
      <w:r w:rsidRPr="00977A5A">
        <w:rPr>
          <w:color w:val="000000" w:themeColor="text1"/>
          <w:spacing w:val="-2"/>
        </w:rPr>
        <w:t>ali snack e affettati (fonte: Osservatorio Immagino).</w:t>
      </w:r>
    </w:p>
    <w:p w:rsidR="00977A5A" w:rsidRPr="00977A5A" w:rsidRDefault="00977A5A" w:rsidP="00977A5A">
      <w:pPr>
        <w:pStyle w:val="ESbranofonte"/>
        <w:spacing w:before="227"/>
        <w:rPr>
          <w:color w:val="000000" w:themeColor="text1"/>
        </w:rPr>
      </w:pPr>
      <w:r w:rsidRPr="00977A5A">
        <w:rPr>
          <w:color w:val="000000" w:themeColor="text1"/>
        </w:rPr>
        <w:t xml:space="preserve">(Fonte: Il Sole 24 Ore, Manuela </w:t>
      </w:r>
      <w:proofErr w:type="spellStart"/>
      <w:r w:rsidRPr="00977A5A">
        <w:rPr>
          <w:color w:val="000000" w:themeColor="text1"/>
        </w:rPr>
        <w:t>Soressi</w:t>
      </w:r>
      <w:proofErr w:type="spellEnd"/>
      <w:r w:rsidRPr="00977A5A">
        <w:rPr>
          <w:color w:val="000000" w:themeColor="text1"/>
        </w:rPr>
        <w:t>, 3 marzo 2023)</w:t>
      </w:r>
    </w:p>
    <w:p w:rsidR="00977A5A" w:rsidRPr="00DE009E" w:rsidRDefault="00977A5A" w:rsidP="00977A5A">
      <w:pPr>
        <w:pStyle w:val="ESeserciziconsegna"/>
        <w:rPr>
          <w:b/>
          <w:color w:val="000000" w:themeColor="text1"/>
        </w:rPr>
      </w:pPr>
      <w:r w:rsidRPr="00DE009E">
        <w:rPr>
          <w:b/>
          <w:color w:val="000000" w:themeColor="text1"/>
        </w:rPr>
        <w:t>A</w:t>
      </w:r>
      <w:r w:rsidRPr="00DE009E">
        <w:rPr>
          <w:b/>
          <w:color w:val="000000" w:themeColor="text1"/>
        </w:rPr>
        <w:tab/>
      </w:r>
      <w:r w:rsidRPr="00DE009E">
        <w:rPr>
          <w:rStyle w:val="ESesercizidemi"/>
          <w:b/>
          <w:color w:val="000000" w:themeColor="text1"/>
        </w:rPr>
        <w:t>Con riferimento alla comprensione dei documenti introduttivi</w:t>
      </w:r>
      <w:r w:rsidRPr="00DE009E">
        <w:rPr>
          <w:b/>
          <w:color w:val="000000" w:themeColor="text1"/>
        </w:rPr>
        <w:t>, utili a raccogliere informazioni e stimoli alla riflessione, il candidato risponda ai seguenti quesiti.</w:t>
      </w:r>
    </w:p>
    <w:p w:rsidR="00977A5A" w:rsidRPr="00977A5A" w:rsidRDefault="00977A5A" w:rsidP="00977A5A">
      <w:pPr>
        <w:pStyle w:val="ESesercizinumerati"/>
        <w:spacing w:before="45"/>
        <w:rPr>
          <w:color w:val="000000" w:themeColor="text1"/>
        </w:rPr>
      </w:pPr>
      <w:r w:rsidRPr="00977A5A">
        <w:rPr>
          <w:color w:val="000000" w:themeColor="text1"/>
        </w:rPr>
        <w:t>1.</w:t>
      </w:r>
      <w:r w:rsidRPr="00977A5A">
        <w:rPr>
          <w:color w:val="000000" w:themeColor="text1"/>
        </w:rPr>
        <w:tab/>
        <w:t>Quante persone risultano diagnosticate come celiache in Italia nel 2021? E in che rapporto, tra uomini e donne?</w:t>
      </w:r>
    </w:p>
    <w:p w:rsidR="00977A5A" w:rsidRPr="00977A5A" w:rsidRDefault="00977A5A" w:rsidP="00977A5A">
      <w:pPr>
        <w:pStyle w:val="ESesercizinumerati"/>
        <w:spacing w:before="45"/>
        <w:rPr>
          <w:color w:val="000000" w:themeColor="text1"/>
        </w:rPr>
      </w:pPr>
      <w:r w:rsidRPr="00977A5A">
        <w:rPr>
          <w:color w:val="000000" w:themeColor="text1"/>
        </w:rPr>
        <w:t>2.</w:t>
      </w:r>
      <w:r w:rsidRPr="00977A5A">
        <w:rPr>
          <w:color w:val="000000" w:themeColor="text1"/>
        </w:rPr>
        <w:tab/>
        <w:t>Quali sono le Regioni italiane con un maggior numero di celiaci? E quelle con un minor numero?</w:t>
      </w:r>
    </w:p>
    <w:p w:rsidR="00977A5A" w:rsidRPr="00977A5A" w:rsidRDefault="00977A5A" w:rsidP="00977A5A">
      <w:pPr>
        <w:pStyle w:val="ESesercizinumerati"/>
        <w:spacing w:before="45"/>
        <w:rPr>
          <w:color w:val="000000" w:themeColor="text1"/>
        </w:rPr>
      </w:pPr>
      <w:r w:rsidRPr="00977A5A">
        <w:rPr>
          <w:color w:val="000000" w:themeColor="text1"/>
        </w:rPr>
        <w:t>3.</w:t>
      </w:r>
      <w:r w:rsidRPr="00977A5A">
        <w:rPr>
          <w:color w:val="000000" w:themeColor="text1"/>
        </w:rPr>
        <w:tab/>
        <w:t xml:space="preserve">Quali sono le categorie di prodotti </w:t>
      </w:r>
      <w:proofErr w:type="spellStart"/>
      <w:r w:rsidRPr="00977A5A">
        <w:rPr>
          <w:color w:val="000000" w:themeColor="text1"/>
        </w:rPr>
        <w:t>gluten</w:t>
      </w:r>
      <w:proofErr w:type="spellEnd"/>
      <w:r w:rsidRPr="00977A5A">
        <w:rPr>
          <w:color w:val="000000" w:themeColor="text1"/>
        </w:rPr>
        <w:t xml:space="preserve"> free con maggiori percentuali di vendita in Italia?</w:t>
      </w:r>
    </w:p>
    <w:p w:rsidR="00977A5A" w:rsidRPr="00977A5A" w:rsidRDefault="00977A5A" w:rsidP="00977A5A">
      <w:pPr>
        <w:pStyle w:val="ESesercizinumerati"/>
        <w:spacing w:before="45"/>
        <w:rPr>
          <w:color w:val="000000" w:themeColor="text1"/>
        </w:rPr>
      </w:pPr>
      <w:r w:rsidRPr="00977A5A">
        <w:rPr>
          <w:color w:val="000000" w:themeColor="text1"/>
        </w:rPr>
        <w:t>4.</w:t>
      </w:r>
      <w:r w:rsidRPr="00977A5A">
        <w:rPr>
          <w:color w:val="000000" w:themeColor="text1"/>
        </w:rPr>
        <w:tab/>
        <w:t xml:space="preserve">Cosa si sono impegnate a fare le aziende del mercato </w:t>
      </w:r>
      <w:proofErr w:type="spellStart"/>
      <w:r w:rsidRPr="00977A5A">
        <w:rPr>
          <w:color w:val="000000" w:themeColor="text1"/>
        </w:rPr>
        <w:t>gluten</w:t>
      </w:r>
      <w:proofErr w:type="spellEnd"/>
      <w:r w:rsidRPr="00977A5A">
        <w:rPr>
          <w:color w:val="000000" w:themeColor="text1"/>
        </w:rPr>
        <w:t xml:space="preserve"> free per migliorare il loro posizionamento? E con quali benefici?</w:t>
      </w:r>
    </w:p>
    <w:p w:rsidR="00977A5A" w:rsidRPr="00DE009E" w:rsidRDefault="00977A5A" w:rsidP="00977A5A">
      <w:pPr>
        <w:pStyle w:val="ESeserciziconsegna"/>
        <w:spacing w:before="227"/>
        <w:rPr>
          <w:b/>
          <w:color w:val="000000" w:themeColor="text1"/>
        </w:rPr>
      </w:pPr>
      <w:r w:rsidRPr="00DE009E">
        <w:rPr>
          <w:b/>
          <w:color w:val="000000" w:themeColor="text1"/>
        </w:rPr>
        <w:t>B</w:t>
      </w:r>
      <w:r w:rsidRPr="00DE009E">
        <w:rPr>
          <w:b/>
          <w:color w:val="000000" w:themeColor="text1"/>
        </w:rPr>
        <w:tab/>
      </w:r>
      <w:r w:rsidRPr="00DE009E">
        <w:rPr>
          <w:rStyle w:val="ESesercizidemi"/>
          <w:b/>
          <w:color w:val="000000" w:themeColor="text1"/>
        </w:rPr>
        <w:t>Con riferimento alla produzione di un testo</w:t>
      </w:r>
      <w:r w:rsidRPr="00DE009E">
        <w:rPr>
          <w:b/>
          <w:color w:val="000000" w:themeColor="text1"/>
        </w:rPr>
        <w:t>, utilizzando le conoscenze acquisite nel corso degli studi:</w:t>
      </w:r>
    </w:p>
    <w:p w:rsidR="00977A5A" w:rsidRPr="00977A5A" w:rsidRDefault="00977A5A" w:rsidP="00977A5A">
      <w:pPr>
        <w:pStyle w:val="ESesercizinumerati"/>
        <w:rPr>
          <w:color w:val="000000" w:themeColor="text1"/>
        </w:rPr>
      </w:pPr>
      <w:r w:rsidRPr="00977A5A">
        <w:rPr>
          <w:color w:val="000000" w:themeColor="text1"/>
        </w:rPr>
        <w:t>1.</w:t>
      </w:r>
      <w:r w:rsidRPr="00977A5A">
        <w:rPr>
          <w:color w:val="000000" w:themeColor="text1"/>
        </w:rPr>
        <w:tab/>
        <w:t>il candidato elabori un testo che specifichi gli obblighi legali delle imprese di ristorazione in merito alla dichiarazione degli allergeni nei menu, secondo la legislazione vigente.</w:t>
      </w:r>
    </w:p>
    <w:p w:rsidR="00977A5A" w:rsidRPr="00DE009E" w:rsidRDefault="00977A5A" w:rsidP="00977A5A">
      <w:pPr>
        <w:pStyle w:val="ESeserciziconsegna"/>
        <w:spacing w:before="227"/>
        <w:rPr>
          <w:b/>
          <w:color w:val="000000" w:themeColor="text1"/>
        </w:rPr>
      </w:pPr>
      <w:r w:rsidRPr="00DE009E">
        <w:rPr>
          <w:b/>
          <w:color w:val="000000" w:themeColor="text1"/>
        </w:rPr>
        <w:lastRenderedPageBreak/>
        <w:t>C</w:t>
      </w:r>
      <w:r w:rsidRPr="00DE009E">
        <w:rPr>
          <w:b/>
          <w:color w:val="000000" w:themeColor="text1"/>
        </w:rPr>
        <w:tab/>
      </w:r>
      <w:r w:rsidRPr="00DE009E">
        <w:rPr>
          <w:rStyle w:val="ESesercizidemi"/>
          <w:b/>
          <w:color w:val="000000" w:themeColor="text1"/>
        </w:rPr>
        <w:t>Con riferimento alla padronanza delle conoscenze fondamentali e delle competenze tecnico-professionali conseguite e maturate anche nell’ambito dei percorsi per le competenze trasversali e l’orientamento</w:t>
      </w:r>
      <w:r w:rsidRPr="00DE009E">
        <w:rPr>
          <w:b/>
          <w:color w:val="000000" w:themeColor="text1"/>
        </w:rPr>
        <w:t xml:space="preserve">, il candidato ipotizzi di essere lo chef di un ristorante d’albergo con il compito di redigere la proposta di un menu per la prima colazione </w:t>
      </w:r>
      <w:proofErr w:type="spellStart"/>
      <w:r w:rsidRPr="00DE009E">
        <w:rPr>
          <w:b/>
          <w:color w:val="000000" w:themeColor="text1"/>
        </w:rPr>
        <w:t>gluten</w:t>
      </w:r>
      <w:proofErr w:type="spellEnd"/>
      <w:r w:rsidRPr="00DE009E">
        <w:rPr>
          <w:b/>
          <w:color w:val="000000" w:themeColor="text1"/>
        </w:rPr>
        <w:t xml:space="preserve"> free, da proporre ai clienti affetti da celiachia.</w:t>
      </w:r>
    </w:p>
    <w:p w:rsidR="00977A5A" w:rsidRPr="00977A5A" w:rsidRDefault="00977A5A" w:rsidP="00977A5A">
      <w:pPr>
        <w:pStyle w:val="ESesercizitesto"/>
        <w:rPr>
          <w:color w:val="000000" w:themeColor="text1"/>
        </w:rPr>
      </w:pPr>
      <w:r w:rsidRPr="00977A5A">
        <w:rPr>
          <w:color w:val="000000" w:themeColor="text1"/>
        </w:rPr>
        <w:t>Dunque, il candidato proponga almeno:</w:t>
      </w:r>
    </w:p>
    <w:p w:rsidR="00977A5A" w:rsidRPr="00977A5A" w:rsidRDefault="00977A5A" w:rsidP="00977A5A">
      <w:pPr>
        <w:pStyle w:val="ESesercizinumerati"/>
        <w:spacing w:before="45"/>
        <w:rPr>
          <w:color w:val="000000" w:themeColor="text1"/>
        </w:rPr>
      </w:pPr>
      <w:r w:rsidRPr="00977A5A">
        <w:rPr>
          <w:color w:val="000000" w:themeColor="text1"/>
        </w:rPr>
        <w:t>1.</w:t>
      </w:r>
      <w:r w:rsidRPr="00977A5A">
        <w:rPr>
          <w:color w:val="000000" w:themeColor="text1"/>
        </w:rPr>
        <w:tab/>
        <w:t>tre prodotti di panificazione utili ad accompagnare burri, confetture, marmellate, salumi e formaggi;</w:t>
      </w:r>
    </w:p>
    <w:p w:rsidR="00977A5A" w:rsidRPr="00977A5A" w:rsidRDefault="00977A5A" w:rsidP="00977A5A">
      <w:pPr>
        <w:pStyle w:val="ESesercizinumerati"/>
        <w:spacing w:before="45"/>
        <w:rPr>
          <w:color w:val="000000" w:themeColor="text1"/>
        </w:rPr>
      </w:pPr>
      <w:r w:rsidRPr="00977A5A">
        <w:rPr>
          <w:color w:val="000000" w:themeColor="text1"/>
        </w:rPr>
        <w:t>2.</w:t>
      </w:r>
      <w:r w:rsidRPr="00977A5A">
        <w:rPr>
          <w:color w:val="000000" w:themeColor="text1"/>
        </w:rPr>
        <w:tab/>
        <w:t>tre prodotti di pasticceria da forno adatti alla prima colazione;</w:t>
      </w:r>
    </w:p>
    <w:p w:rsidR="00977A5A" w:rsidRPr="00977A5A" w:rsidRDefault="00977A5A" w:rsidP="00977A5A">
      <w:pPr>
        <w:pStyle w:val="ESesercizinumerati"/>
        <w:spacing w:before="45"/>
        <w:rPr>
          <w:color w:val="000000" w:themeColor="text1"/>
        </w:rPr>
      </w:pPr>
      <w:r w:rsidRPr="00977A5A">
        <w:rPr>
          <w:color w:val="000000" w:themeColor="text1"/>
        </w:rPr>
        <w:t>3.</w:t>
      </w:r>
      <w:r w:rsidRPr="00977A5A">
        <w:rPr>
          <w:color w:val="000000" w:themeColor="text1"/>
        </w:rPr>
        <w:tab/>
        <w:t xml:space="preserve">cinque altri prodotti a scelta, tipici del servizio breakfast, purché </w:t>
      </w:r>
      <w:proofErr w:type="spellStart"/>
      <w:r w:rsidRPr="00977A5A">
        <w:rPr>
          <w:color w:val="000000" w:themeColor="text1"/>
        </w:rPr>
        <w:t>gluten</w:t>
      </w:r>
      <w:proofErr w:type="spellEnd"/>
      <w:r w:rsidRPr="00977A5A">
        <w:rPr>
          <w:color w:val="000000" w:themeColor="text1"/>
        </w:rPr>
        <w:t xml:space="preserve"> free.</w:t>
      </w:r>
    </w:p>
    <w:p w:rsidR="00977A5A" w:rsidRPr="00977A5A" w:rsidRDefault="00977A5A" w:rsidP="00977A5A">
      <w:pPr>
        <w:pStyle w:val="ESesercizitesto"/>
        <w:spacing w:before="85"/>
        <w:rPr>
          <w:color w:val="000000" w:themeColor="text1"/>
        </w:rPr>
      </w:pPr>
      <w:r w:rsidRPr="00977A5A">
        <w:rPr>
          <w:color w:val="000000" w:themeColor="text1"/>
        </w:rPr>
        <w:t>Il candidato descriva quindi:</w:t>
      </w:r>
    </w:p>
    <w:p w:rsidR="00977A5A" w:rsidRPr="00977A5A" w:rsidRDefault="00977A5A" w:rsidP="00977A5A">
      <w:pPr>
        <w:pStyle w:val="ESesercizinumerati"/>
        <w:spacing w:before="45"/>
        <w:rPr>
          <w:color w:val="000000" w:themeColor="text1"/>
        </w:rPr>
      </w:pPr>
      <w:r w:rsidRPr="00977A5A">
        <w:rPr>
          <w:color w:val="000000" w:themeColor="text1"/>
        </w:rPr>
        <w:t>•</w:t>
      </w:r>
      <w:r w:rsidRPr="00977A5A">
        <w:rPr>
          <w:color w:val="000000" w:themeColor="text1"/>
        </w:rPr>
        <w:tab/>
        <w:t>le caratteristiche degli ingredienti con cui produce le ricette proposte ai punti precedenti (es: che tipi di farine, quali eventuali coadiuvanti ecc.).</w:t>
      </w:r>
    </w:p>
    <w:p w:rsidR="00772820" w:rsidRPr="00D477E9" w:rsidRDefault="00977A5A" w:rsidP="00D477E9">
      <w:pPr>
        <w:pStyle w:val="ESesercizinumerati"/>
        <w:spacing w:before="45"/>
        <w:rPr>
          <w:color w:val="000000" w:themeColor="text1"/>
        </w:rPr>
      </w:pPr>
      <w:r w:rsidRPr="00D477E9">
        <w:rPr>
          <w:color w:val="000000" w:themeColor="text1"/>
        </w:rPr>
        <w:t>•</w:t>
      </w:r>
      <w:r w:rsidRPr="00D477E9">
        <w:rPr>
          <w:color w:val="000000" w:themeColor="text1"/>
        </w:rPr>
        <w:tab/>
        <w:t xml:space="preserve">le modalità di servizio e di collocazione delle preparazioni nel buffet di esposizione tenendo in considerazione le problematiche tipiche della produzione e servizio di ricette </w:t>
      </w:r>
      <w:proofErr w:type="spellStart"/>
      <w:r w:rsidRPr="00D477E9">
        <w:rPr>
          <w:color w:val="000000" w:themeColor="text1"/>
        </w:rPr>
        <w:t>gluten</w:t>
      </w:r>
      <w:proofErr w:type="spellEnd"/>
      <w:r w:rsidRPr="00D477E9">
        <w:rPr>
          <w:color w:val="000000" w:themeColor="text1"/>
        </w:rPr>
        <w:t xml:space="preserve"> free.</w:t>
      </w:r>
    </w:p>
    <w:p w:rsidR="00D477E9" w:rsidRPr="00D477E9" w:rsidRDefault="00D477E9">
      <w:pPr>
        <w:pStyle w:val="ESesercizinumerati"/>
        <w:spacing w:before="45"/>
        <w:rPr>
          <w:color w:val="000000" w:themeColor="text1"/>
        </w:rPr>
      </w:pPr>
    </w:p>
    <w:sectPr w:rsidR="00D477E9" w:rsidRPr="00D477E9" w:rsidSect="00421618">
      <w:headerReference w:type="even" r:id="rId9"/>
      <w:headerReference w:type="default" r:id="rId10"/>
      <w:footerReference w:type="even" r:id="rId11"/>
      <w:footerReference w:type="default" r:id="rId12"/>
      <w:headerReference w:type="first" r:id="rId13"/>
      <w:footerReference w:type="first" r:id="rId14"/>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636C" w:rsidRDefault="0059636C" w:rsidP="00C537D3">
      <w:r>
        <w:separator/>
      </w:r>
    </w:p>
  </w:endnote>
  <w:endnote w:type="continuationSeparator" w:id="0">
    <w:p w:rsidR="0059636C" w:rsidRDefault="0059636C" w:rsidP="00C53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saSansPro-ExtraBold">
    <w:altName w:val="Calibri"/>
    <w:panose1 w:val="020B0604020202020204"/>
    <w:charset w:val="4D"/>
    <w:family w:val="auto"/>
    <w:notTrueType/>
    <w:pitch w:val="default"/>
    <w:sig w:usb0="00000003" w:usb1="00000000" w:usb2="00000000" w:usb3="00000000" w:csb0="00000001" w:csb1="00000000"/>
  </w:font>
  <w:font w:name="ITC Franklin Gothic Std Book">
    <w:panose1 w:val="020B0504030503020204"/>
    <w:charset w:val="4D"/>
    <w:family w:val="swiss"/>
    <w:notTrueType/>
    <w:pitch w:val="variable"/>
    <w:sig w:usb0="00000003" w:usb1="00000000" w:usb2="00000000" w:usb3="00000000" w:csb0="00000001" w:csb1="00000000"/>
  </w:font>
  <w:font w:name="Chaparral Pro">
    <w:panose1 w:val="02060503040505020203"/>
    <w:charset w:val="4D"/>
    <w:family w:val="roman"/>
    <w:notTrueType/>
    <w:pitch w:val="variable"/>
    <w:sig w:usb0="00000007" w:usb1="00000001" w:usb2="00000000" w:usb3="00000000" w:csb0="00000093" w:csb1="00000000"/>
  </w:font>
  <w:font w:name="ITC Franklin Gothic Std Med">
    <w:altName w:val="Cambria"/>
    <w:panose1 w:val="020B0704030503020204"/>
    <w:charset w:val="4D"/>
    <w:family w:val="swiss"/>
    <w:notTrueType/>
    <w:pitch w:val="variable"/>
    <w:sig w:usb0="00000003" w:usb1="00000000" w:usb2="00000000" w:usb3="00000000" w:csb0="00000001" w:csb1="00000000"/>
  </w:font>
  <w:font w:name="Chaparral Pro SmBd">
    <w:altName w:val="Calibri"/>
    <w:panose1 w:val="02060603040505020203"/>
    <w:charset w:val="4D"/>
    <w:family w:val="roman"/>
    <w:notTrueType/>
    <w:pitch w:val="variable"/>
    <w:sig w:usb0="00000007" w:usb1="00000001" w:usb2="00000000" w:usb3="00000000" w:csb0="000000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37D3" w:rsidRDefault="00C537D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37D3" w:rsidRPr="000B6133" w:rsidRDefault="00C537D3" w:rsidP="00C537D3">
    <w:pPr>
      <w:jc w:val="center"/>
      <w:rPr>
        <w:rFonts w:ascii="Arial" w:eastAsia="Times New Roman" w:hAnsi="Arial" w:cs="Arial"/>
        <w:color w:val="222222"/>
        <w:sz w:val="14"/>
        <w:szCs w:val="14"/>
        <w:shd w:val="clear" w:color="auto" w:fill="FFFFFF"/>
        <w:lang w:eastAsia="it-IT"/>
      </w:rPr>
    </w:pPr>
  </w:p>
  <w:p w:rsidR="00C537D3" w:rsidRPr="00C537D3" w:rsidRDefault="00C537D3" w:rsidP="00C537D3">
    <w:pPr>
      <w:jc w:val="center"/>
      <w:rPr>
        <w:rFonts w:ascii="Times New Roman" w:eastAsia="Times New Roman" w:hAnsi="Times New Roman" w:cs="Times New Roman"/>
        <w:sz w:val="14"/>
        <w:szCs w:val="14"/>
        <w:lang w:eastAsia="it-IT"/>
      </w:rPr>
    </w:pPr>
    <w:r w:rsidRPr="000B6133">
      <w:rPr>
        <w:rFonts w:ascii="Arial" w:eastAsia="Times New Roman" w:hAnsi="Arial" w:cs="Arial"/>
        <w:color w:val="222222"/>
        <w:sz w:val="14"/>
        <w:szCs w:val="14"/>
        <w:shd w:val="clear" w:color="auto" w:fill="FFFFFF"/>
        <w:lang w:eastAsia="it-IT"/>
      </w:rPr>
      <w:t xml:space="preserve">Giovanni Salviani, Giuliano </w:t>
    </w:r>
    <w:proofErr w:type="spellStart"/>
    <w:r w:rsidRPr="000B6133">
      <w:rPr>
        <w:rFonts w:ascii="Arial" w:eastAsia="Times New Roman" w:hAnsi="Arial" w:cs="Arial"/>
        <w:color w:val="222222"/>
        <w:sz w:val="14"/>
        <w:szCs w:val="14"/>
        <w:shd w:val="clear" w:color="auto" w:fill="FFFFFF"/>
        <w:lang w:eastAsia="it-IT"/>
      </w:rPr>
      <w:t>Fiorotto</w:t>
    </w:r>
    <w:proofErr w:type="spellEnd"/>
    <w:r w:rsidRPr="000B6133">
      <w:rPr>
        <w:rFonts w:ascii="Arial" w:eastAsia="Times New Roman" w:hAnsi="Arial" w:cs="Arial"/>
        <w:color w:val="222222"/>
        <w:sz w:val="14"/>
        <w:szCs w:val="14"/>
        <w:shd w:val="clear" w:color="auto" w:fill="FFFFFF"/>
        <w:lang w:eastAsia="it-IT"/>
      </w:rPr>
      <w:t>, </w:t>
    </w:r>
    <w:r w:rsidRPr="000B6133">
      <w:rPr>
        <w:rFonts w:ascii="Arial" w:eastAsia="Times New Roman" w:hAnsi="Arial" w:cs="Arial"/>
        <w:i/>
        <w:iCs/>
        <w:color w:val="222222"/>
        <w:sz w:val="14"/>
        <w:szCs w:val="14"/>
        <w:shd w:val="clear" w:color="auto" w:fill="FFFFFF"/>
        <w:lang w:eastAsia="it-IT"/>
      </w:rPr>
      <w:t>Chef Green</w:t>
    </w:r>
    <w:r w:rsidRPr="000B6133">
      <w:rPr>
        <w:rFonts w:ascii="Arial" w:eastAsia="Times New Roman" w:hAnsi="Arial" w:cs="Arial"/>
        <w:color w:val="222222"/>
        <w:sz w:val="14"/>
        <w:szCs w:val="14"/>
        <w:shd w:val="clear" w:color="auto" w:fill="FFFFFF"/>
        <w:lang w:eastAsia="it-IT"/>
      </w:rPr>
      <w:t> © Editore Ulrico Hoepli, 2024</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37D3" w:rsidRDefault="00C537D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636C" w:rsidRDefault="0059636C" w:rsidP="00C537D3">
      <w:r>
        <w:separator/>
      </w:r>
    </w:p>
  </w:footnote>
  <w:footnote w:type="continuationSeparator" w:id="0">
    <w:p w:rsidR="0059636C" w:rsidRDefault="0059636C" w:rsidP="00C53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37D3" w:rsidRDefault="00C537D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37D3" w:rsidRDefault="00C537D3">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37D3" w:rsidRDefault="00C537D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2325D"/>
    <w:multiLevelType w:val="multilevel"/>
    <w:tmpl w:val="A9D84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A5A"/>
    <w:rsid w:val="00367BE2"/>
    <w:rsid w:val="00412666"/>
    <w:rsid w:val="00421618"/>
    <w:rsid w:val="0059636C"/>
    <w:rsid w:val="00772820"/>
    <w:rsid w:val="00977A5A"/>
    <w:rsid w:val="00A176DE"/>
    <w:rsid w:val="00AE29AB"/>
    <w:rsid w:val="00C537D3"/>
    <w:rsid w:val="00D477E9"/>
    <w:rsid w:val="00DE00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6E162E08"/>
  <w14:defaultImageDpi w14:val="32767"/>
  <w15:chartTrackingRefBased/>
  <w15:docId w15:val="{F60A4F22-1E27-6F41-B17A-1D79BBA2F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SPROVA">
    <w:name w:val="ES_PROVA"/>
    <w:basedOn w:val="Normale"/>
    <w:uiPriority w:val="99"/>
    <w:rsid w:val="00977A5A"/>
    <w:pPr>
      <w:suppressAutoHyphens/>
      <w:autoSpaceDE w:val="0"/>
      <w:autoSpaceDN w:val="0"/>
      <w:adjustRightInd w:val="0"/>
      <w:spacing w:line="520" w:lineRule="atLeast"/>
      <w:textAlignment w:val="center"/>
    </w:pPr>
    <w:rPr>
      <w:rFonts w:ascii="TisaSansPro-ExtraBold" w:hAnsi="TisaSansPro-ExtraBold" w:cs="TisaSansPro-ExtraBold"/>
      <w:b/>
      <w:bCs/>
      <w:caps/>
      <w:color w:val="000000"/>
      <w:sz w:val="46"/>
      <w:szCs w:val="46"/>
    </w:rPr>
  </w:style>
  <w:style w:type="paragraph" w:customStyle="1" w:styleId="ESnuclei">
    <w:name w:val="ES_nuclei"/>
    <w:basedOn w:val="Normale"/>
    <w:uiPriority w:val="99"/>
    <w:rsid w:val="00977A5A"/>
    <w:pPr>
      <w:autoSpaceDE w:val="0"/>
      <w:autoSpaceDN w:val="0"/>
      <w:adjustRightInd w:val="0"/>
      <w:spacing w:before="28" w:line="260" w:lineRule="atLeast"/>
      <w:jc w:val="both"/>
      <w:textAlignment w:val="center"/>
    </w:pPr>
    <w:rPr>
      <w:rFonts w:ascii="ITC Franklin Gothic Std Book" w:hAnsi="ITC Franklin Gothic Std Book" w:cs="ITC Franklin Gothic Std Book"/>
      <w:color w:val="000000"/>
      <w:sz w:val="20"/>
      <w:szCs w:val="20"/>
    </w:rPr>
  </w:style>
  <w:style w:type="paragraph" w:customStyle="1" w:styleId="23APEelencoabcon">
    <w:name w:val="23_APE_elenco_ab_con"/>
    <w:basedOn w:val="Normale"/>
    <w:uiPriority w:val="99"/>
    <w:rsid w:val="00977A5A"/>
    <w:pPr>
      <w:tabs>
        <w:tab w:val="left" w:pos="283"/>
      </w:tabs>
      <w:suppressAutoHyphens/>
      <w:autoSpaceDE w:val="0"/>
      <w:autoSpaceDN w:val="0"/>
      <w:adjustRightInd w:val="0"/>
      <w:spacing w:before="28" w:line="210" w:lineRule="atLeast"/>
      <w:ind w:left="283" w:hanging="283"/>
      <w:textAlignment w:val="center"/>
    </w:pPr>
    <w:rPr>
      <w:rFonts w:ascii="ITC Franklin Gothic Std Book" w:hAnsi="ITC Franklin Gothic Std Book" w:cs="ITC Franklin Gothic Std Book"/>
      <w:color w:val="000000"/>
      <w:w w:val="95"/>
      <w:sz w:val="19"/>
      <w:szCs w:val="19"/>
    </w:rPr>
  </w:style>
  <w:style w:type="paragraph" w:customStyle="1" w:styleId="ESbranotesto">
    <w:name w:val="ES_brano_testo"/>
    <w:basedOn w:val="Normale"/>
    <w:uiPriority w:val="99"/>
    <w:rsid w:val="00977A5A"/>
    <w:pPr>
      <w:autoSpaceDE w:val="0"/>
      <w:autoSpaceDN w:val="0"/>
      <w:adjustRightInd w:val="0"/>
      <w:spacing w:line="230" w:lineRule="atLeast"/>
      <w:jc w:val="both"/>
      <w:textAlignment w:val="center"/>
    </w:pPr>
    <w:rPr>
      <w:rFonts w:ascii="Chaparral Pro" w:hAnsi="Chaparral Pro" w:cs="Chaparral Pro"/>
      <w:color w:val="000000"/>
      <w:sz w:val="20"/>
      <w:szCs w:val="20"/>
    </w:rPr>
  </w:style>
  <w:style w:type="paragraph" w:customStyle="1" w:styleId="ESbranoT1">
    <w:name w:val="ES_brano_T1"/>
    <w:basedOn w:val="Normale"/>
    <w:uiPriority w:val="99"/>
    <w:rsid w:val="00977A5A"/>
    <w:pPr>
      <w:pBdr>
        <w:bottom w:val="single" w:sz="6" w:space="2" w:color="B21D27"/>
      </w:pBdr>
      <w:suppressAutoHyphens/>
      <w:autoSpaceDE w:val="0"/>
      <w:autoSpaceDN w:val="0"/>
      <w:adjustRightInd w:val="0"/>
      <w:spacing w:after="57" w:line="240" w:lineRule="atLeast"/>
      <w:textAlignment w:val="center"/>
    </w:pPr>
    <w:rPr>
      <w:rFonts w:ascii="ITC Franklin Gothic Std Book" w:hAnsi="ITC Franklin Gothic Std Book" w:cs="ITC Franklin Gothic Std Book"/>
      <w:color w:val="000000"/>
      <w:sz w:val="22"/>
      <w:szCs w:val="22"/>
    </w:rPr>
  </w:style>
  <w:style w:type="paragraph" w:customStyle="1" w:styleId="ESdocumento">
    <w:name w:val="ES_documento"/>
    <w:basedOn w:val="Normale"/>
    <w:uiPriority w:val="99"/>
    <w:rsid w:val="00977A5A"/>
    <w:pPr>
      <w:suppressAutoHyphens/>
      <w:autoSpaceDE w:val="0"/>
      <w:autoSpaceDN w:val="0"/>
      <w:adjustRightInd w:val="0"/>
      <w:spacing w:before="227" w:line="200" w:lineRule="atLeast"/>
      <w:textAlignment w:val="center"/>
    </w:pPr>
    <w:rPr>
      <w:rFonts w:ascii="ITC Franklin Gothic Std Book" w:hAnsi="ITC Franklin Gothic Std Book" w:cs="ITC Franklin Gothic Std Book"/>
      <w:caps/>
      <w:color w:val="FFFFFF"/>
      <w:sz w:val="18"/>
      <w:szCs w:val="18"/>
      <w:u w:val="thick" w:color="B1AFA1"/>
    </w:rPr>
  </w:style>
  <w:style w:type="paragraph" w:customStyle="1" w:styleId="ESbranoT2">
    <w:name w:val="ES_brano_T2"/>
    <w:basedOn w:val="Normale"/>
    <w:uiPriority w:val="99"/>
    <w:rsid w:val="00977A5A"/>
    <w:pPr>
      <w:suppressAutoHyphens/>
      <w:autoSpaceDE w:val="0"/>
      <w:autoSpaceDN w:val="0"/>
      <w:adjustRightInd w:val="0"/>
      <w:spacing w:before="227" w:line="200" w:lineRule="atLeast"/>
      <w:textAlignment w:val="center"/>
    </w:pPr>
    <w:rPr>
      <w:rFonts w:ascii="ITC Franklin Gothic Std Book" w:hAnsi="ITC Franklin Gothic Std Book" w:cs="ITC Franklin Gothic Std Book"/>
      <w:color w:val="B21D27"/>
      <w:sz w:val="18"/>
      <w:szCs w:val="18"/>
    </w:rPr>
  </w:style>
  <w:style w:type="paragraph" w:customStyle="1" w:styleId="ESbranofonte">
    <w:name w:val="ES_brano_fonte"/>
    <w:basedOn w:val="Normale"/>
    <w:uiPriority w:val="99"/>
    <w:rsid w:val="00977A5A"/>
    <w:pPr>
      <w:suppressAutoHyphens/>
      <w:autoSpaceDE w:val="0"/>
      <w:autoSpaceDN w:val="0"/>
      <w:adjustRightInd w:val="0"/>
      <w:spacing w:before="113" w:line="220" w:lineRule="atLeast"/>
      <w:jc w:val="right"/>
      <w:textAlignment w:val="center"/>
    </w:pPr>
    <w:rPr>
      <w:rFonts w:ascii="Chaparral Pro" w:hAnsi="Chaparral Pro" w:cs="Chaparral Pro"/>
      <w:color w:val="000000"/>
      <w:sz w:val="18"/>
      <w:szCs w:val="18"/>
    </w:rPr>
  </w:style>
  <w:style w:type="paragraph" w:customStyle="1" w:styleId="ESeserciziconsegna">
    <w:name w:val="ES_esercizi_consegna"/>
    <w:basedOn w:val="Normale"/>
    <w:uiPriority w:val="99"/>
    <w:rsid w:val="00977A5A"/>
    <w:pPr>
      <w:tabs>
        <w:tab w:val="left" w:pos="397"/>
      </w:tabs>
      <w:autoSpaceDE w:val="0"/>
      <w:autoSpaceDN w:val="0"/>
      <w:adjustRightInd w:val="0"/>
      <w:spacing w:before="283" w:line="260" w:lineRule="atLeast"/>
      <w:ind w:left="397" w:hanging="397"/>
      <w:jc w:val="both"/>
      <w:textAlignment w:val="center"/>
    </w:pPr>
    <w:rPr>
      <w:rFonts w:ascii="ITC Franklin Gothic Std Book" w:hAnsi="ITC Franklin Gothic Std Book" w:cs="ITC Franklin Gothic Std Book"/>
      <w:color w:val="000000"/>
      <w:sz w:val="20"/>
      <w:szCs w:val="20"/>
    </w:rPr>
  </w:style>
  <w:style w:type="paragraph" w:customStyle="1" w:styleId="ESesercizitesto">
    <w:name w:val="ES_esercizi_testo"/>
    <w:basedOn w:val="Normale"/>
    <w:uiPriority w:val="99"/>
    <w:rsid w:val="00977A5A"/>
    <w:pPr>
      <w:autoSpaceDE w:val="0"/>
      <w:autoSpaceDN w:val="0"/>
      <w:adjustRightInd w:val="0"/>
      <w:spacing w:line="260" w:lineRule="atLeast"/>
      <w:ind w:left="397"/>
      <w:jc w:val="both"/>
      <w:textAlignment w:val="center"/>
    </w:pPr>
    <w:rPr>
      <w:rFonts w:ascii="ITC Franklin Gothic Std Book" w:hAnsi="ITC Franklin Gothic Std Book" w:cs="ITC Franklin Gothic Std Book"/>
      <w:color w:val="000000"/>
      <w:sz w:val="20"/>
      <w:szCs w:val="20"/>
    </w:rPr>
  </w:style>
  <w:style w:type="paragraph" w:customStyle="1" w:styleId="ESesercizinumerati">
    <w:name w:val="ES_esercizi_numerati"/>
    <w:basedOn w:val="ESesercizitesto"/>
    <w:uiPriority w:val="99"/>
    <w:rsid w:val="00977A5A"/>
    <w:pPr>
      <w:tabs>
        <w:tab w:val="left" w:pos="720"/>
      </w:tabs>
      <w:spacing w:before="57"/>
      <w:ind w:left="680" w:hanging="283"/>
    </w:pPr>
  </w:style>
  <w:style w:type="character" w:customStyle="1" w:styleId="PROVEfranklinmedium">
    <w:name w:val="PROVE_franklin_medium"/>
    <w:uiPriority w:val="99"/>
    <w:rsid w:val="00977A5A"/>
    <w:rPr>
      <w:rFonts w:ascii="ITC Franklin Gothic Std Med" w:hAnsi="ITC Franklin Gothic Std Med" w:cs="ITC Franklin Gothic Std Med"/>
    </w:rPr>
  </w:style>
  <w:style w:type="character" w:customStyle="1" w:styleId="ESbranosemibold">
    <w:name w:val="ES_brano_semibold"/>
    <w:uiPriority w:val="99"/>
    <w:rsid w:val="00977A5A"/>
    <w:rPr>
      <w:rFonts w:ascii="Chaparral Pro SmBd" w:hAnsi="Chaparral Pro SmBd" w:cs="Chaparral Pro SmBd"/>
    </w:rPr>
  </w:style>
  <w:style w:type="character" w:customStyle="1" w:styleId="ESesercizidemi">
    <w:name w:val="ES_esercizi_demi"/>
    <w:uiPriority w:val="99"/>
    <w:rsid w:val="00977A5A"/>
    <w:rPr>
      <w:rFonts w:ascii="ITC Franklin Gothic Std Book" w:hAnsi="ITC Franklin Gothic Std Book" w:cs="ITC Franklin Gothic Std Book"/>
    </w:rPr>
  </w:style>
  <w:style w:type="paragraph" w:styleId="Intestazione">
    <w:name w:val="header"/>
    <w:basedOn w:val="Normale"/>
    <w:link w:val="IntestazioneCarattere"/>
    <w:uiPriority w:val="99"/>
    <w:unhideWhenUsed/>
    <w:rsid w:val="00C537D3"/>
    <w:pPr>
      <w:tabs>
        <w:tab w:val="center" w:pos="4819"/>
        <w:tab w:val="right" w:pos="9638"/>
      </w:tabs>
    </w:pPr>
  </w:style>
  <w:style w:type="character" w:customStyle="1" w:styleId="IntestazioneCarattere">
    <w:name w:val="Intestazione Carattere"/>
    <w:basedOn w:val="Carpredefinitoparagrafo"/>
    <w:link w:val="Intestazione"/>
    <w:uiPriority w:val="99"/>
    <w:rsid w:val="00C537D3"/>
  </w:style>
  <w:style w:type="paragraph" w:styleId="Pidipagina">
    <w:name w:val="footer"/>
    <w:basedOn w:val="Normale"/>
    <w:link w:val="PidipaginaCarattere"/>
    <w:uiPriority w:val="99"/>
    <w:unhideWhenUsed/>
    <w:rsid w:val="00C537D3"/>
    <w:pPr>
      <w:tabs>
        <w:tab w:val="center" w:pos="4819"/>
        <w:tab w:val="right" w:pos="9638"/>
      </w:tabs>
    </w:pPr>
  </w:style>
  <w:style w:type="character" w:customStyle="1" w:styleId="PidipaginaCarattere">
    <w:name w:val="Piè di pagina Carattere"/>
    <w:basedOn w:val="Carpredefinitoparagrafo"/>
    <w:link w:val="Pidipagina"/>
    <w:uiPriority w:val="99"/>
    <w:rsid w:val="00C53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1079</Words>
  <Characters>6153</Characters>
  <Application>Microsoft Office Word</Application>
  <DocSecurity>0</DocSecurity>
  <Lines>51</Lines>
  <Paragraphs>14</Paragraphs>
  <ScaleCrop>false</ScaleCrop>
  <Company/>
  <LinksUpToDate>false</LinksUpToDate>
  <CharactersWithSpaces>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Utente di Microsoft Office</cp:lastModifiedBy>
  <cp:revision>6</cp:revision>
  <dcterms:created xsi:type="dcterms:W3CDTF">2024-02-28T14:20:00Z</dcterms:created>
  <dcterms:modified xsi:type="dcterms:W3CDTF">2024-02-29T11:21:00Z</dcterms:modified>
</cp:coreProperties>
</file>